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517525</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CURRENT REPORT PURSUANT TO</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SECTION 13 OR 15(d) OF THE</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Date of report (Date of earliest event reported): April 27, 2026</w:t>
      </w:r>
    </w:p>
    <w:p>
      <w:pPr>
        <w:spacing w:after="0" w:line="1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HBT FINANCIAL, INC.</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70" w:lineRule="exact"/>
        <w:rPr>
          <w:sz w:val="24"/>
          <w:szCs w:val="24"/>
          <w:color w:val="auto"/>
        </w:rPr>
      </w:pPr>
    </w:p>
    <w:tbl>
      <w:tblPr>
        <w:tblLayout w:type="fixed"/>
        <w:tblInd w:w="1240" w:type="dxa"/>
        <w:tblCellMar>
          <w:top w:w="0" w:type="dxa"/>
          <w:left w:w="0" w:type="dxa"/>
          <w:bottom w:w="0" w:type="dxa"/>
          <w:right w:w="0" w:type="dxa"/>
        </w:tblCellMar>
      </w:tblPr>
      <w:tr>
        <w:trPr>
          <w:trHeight w:val="159"/>
        </w:trPr>
        <w:tc>
          <w:tcPr>
            <w:tcW w:w="2220" w:type="dxa"/>
            <w:vAlign w:val="bottom"/>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440" w:type="dxa"/>
            <w:vAlign w:val="bottom"/>
          </w:tcPr>
          <w:p>
            <w:pPr>
              <w:jc w:val="right"/>
              <w:ind w:right="2000"/>
              <w:spacing w:after="0"/>
              <w:rPr>
                <w:sz w:val="20"/>
                <w:szCs w:val="20"/>
                <w:color w:val="auto"/>
              </w:rPr>
            </w:pPr>
            <w:r>
              <w:rPr>
                <w:rFonts w:ascii="Times New Roman" w:cs="Times New Roman" w:eastAsia="Times New Roman" w:hAnsi="Times New Roman"/>
                <w:sz w:val="12"/>
                <w:szCs w:val="12"/>
                <w:b w:val="1"/>
                <w:bCs w:val="1"/>
                <w:color w:val="auto"/>
              </w:rPr>
              <w:t>001-39085</w:t>
            </w:r>
          </w:p>
        </w:tc>
        <w:tc>
          <w:tcPr>
            <w:tcW w:w="1880" w:type="dxa"/>
            <w:vAlign w:val="bottom"/>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37-1117216</w:t>
            </w:r>
          </w:p>
        </w:tc>
        <w:tc>
          <w:tcPr>
            <w:tcW w:w="0" w:type="dxa"/>
            <w:vAlign w:val="bottom"/>
          </w:tcPr>
          <w:p>
            <w:pPr>
              <w:spacing w:after="0"/>
              <w:rPr>
                <w:sz w:val="1"/>
                <w:szCs w:val="1"/>
                <w:color w:val="auto"/>
              </w:rPr>
            </w:pPr>
          </w:p>
        </w:tc>
      </w:tr>
      <w:tr>
        <w:trPr>
          <w:trHeight w:val="135"/>
        </w:trPr>
        <w:tc>
          <w:tcPr>
            <w:tcW w:w="2220" w:type="dxa"/>
            <w:vAlign w:val="bottom"/>
          </w:tcPr>
          <w:p>
            <w:pPr>
              <w:jc w:val="center"/>
              <w:ind w:right="620"/>
              <w:spacing w:after="0" w:line="135" w:lineRule="exact"/>
              <w:rPr>
                <w:sz w:val="20"/>
                <w:szCs w:val="20"/>
                <w:color w:val="auto"/>
              </w:rPr>
            </w:pPr>
            <w:r>
              <w:rPr>
                <w:rFonts w:ascii="Times New Roman" w:cs="Times New Roman" w:eastAsia="Times New Roman" w:hAnsi="Times New Roman"/>
                <w:sz w:val="12"/>
                <w:szCs w:val="12"/>
                <w:color w:val="auto"/>
                <w:w w:val="99"/>
              </w:rPr>
              <w:t>(State or other jurisdiction</w:t>
            </w:r>
          </w:p>
        </w:tc>
        <w:tc>
          <w:tcPr>
            <w:tcW w:w="4440" w:type="dxa"/>
            <w:vAlign w:val="bottom"/>
          </w:tcPr>
          <w:p>
            <w:pPr>
              <w:jc w:val="center"/>
              <w:ind w:right="120"/>
              <w:spacing w:after="0" w:line="135" w:lineRule="exact"/>
              <w:rPr>
                <w:sz w:val="20"/>
                <w:szCs w:val="20"/>
                <w:color w:val="auto"/>
              </w:rPr>
            </w:pPr>
            <w:r>
              <w:rPr>
                <w:rFonts w:ascii="Times New Roman" w:cs="Times New Roman" w:eastAsia="Times New Roman" w:hAnsi="Times New Roman"/>
                <w:sz w:val="12"/>
                <w:szCs w:val="12"/>
                <w:color w:val="auto"/>
              </w:rPr>
              <w:t>(Commission File Number)</w:t>
            </w:r>
          </w:p>
        </w:tc>
        <w:tc>
          <w:tcPr>
            <w:tcW w:w="1880" w:type="dxa"/>
            <w:vAlign w:val="bottom"/>
          </w:tcPr>
          <w:p>
            <w:pPr>
              <w:jc w:val="center"/>
              <w:ind w:left="720"/>
              <w:spacing w:after="0" w:line="135" w:lineRule="exact"/>
              <w:rPr>
                <w:sz w:val="20"/>
                <w:szCs w:val="20"/>
                <w:color w:val="auto"/>
              </w:rPr>
            </w:pPr>
            <w:r>
              <w:rPr>
                <w:rFonts w:ascii="Times New Roman" w:cs="Times New Roman" w:eastAsia="Times New Roman" w:hAnsi="Times New Roman"/>
                <w:sz w:val="12"/>
                <w:szCs w:val="12"/>
                <w:color w:val="auto"/>
              </w:rPr>
              <w:t>(IRS Employer</w:t>
            </w:r>
          </w:p>
        </w:tc>
        <w:tc>
          <w:tcPr>
            <w:tcW w:w="0" w:type="dxa"/>
            <w:vAlign w:val="bottom"/>
          </w:tcPr>
          <w:p>
            <w:pPr>
              <w:spacing w:after="0"/>
              <w:rPr>
                <w:sz w:val="1"/>
                <w:szCs w:val="1"/>
                <w:color w:val="auto"/>
              </w:rPr>
            </w:pPr>
          </w:p>
        </w:tc>
      </w:tr>
      <w:tr>
        <w:trPr>
          <w:trHeight w:val="155"/>
        </w:trPr>
        <w:tc>
          <w:tcPr>
            <w:tcW w:w="2220" w:type="dxa"/>
            <w:vAlign w:val="bottom"/>
          </w:tcPr>
          <w:p>
            <w:pPr>
              <w:jc w:val="center"/>
              <w:ind w:right="620"/>
              <w:spacing w:after="0"/>
              <w:rPr>
                <w:sz w:val="20"/>
                <w:szCs w:val="20"/>
                <w:color w:val="auto"/>
              </w:rPr>
            </w:pPr>
            <w:r>
              <w:rPr>
                <w:rFonts w:ascii="Times New Roman" w:cs="Times New Roman" w:eastAsia="Times New Roman" w:hAnsi="Times New Roman"/>
                <w:sz w:val="12"/>
                <w:szCs w:val="12"/>
                <w:color w:val="auto"/>
              </w:rPr>
              <w:t>of incorporation)</w:t>
            </w:r>
          </w:p>
        </w:tc>
        <w:tc>
          <w:tcPr>
            <w:tcW w:w="4440" w:type="dxa"/>
            <w:vAlign w:val="bottom"/>
          </w:tcPr>
          <w:p>
            <w:pPr>
              <w:spacing w:after="0"/>
              <w:rPr>
                <w:sz w:val="13"/>
                <w:szCs w:val="13"/>
                <w:color w:val="auto"/>
              </w:rPr>
            </w:pPr>
          </w:p>
        </w:tc>
        <w:tc>
          <w:tcPr>
            <w:tcW w:w="1880" w:type="dxa"/>
            <w:vAlign w:val="bottom"/>
          </w:tcPr>
          <w:p>
            <w:pPr>
              <w:jc w:val="center"/>
              <w:ind w:left="720"/>
              <w:spacing w:after="0"/>
              <w:rPr>
                <w:sz w:val="20"/>
                <w:szCs w:val="20"/>
                <w:color w:val="auto"/>
              </w:rPr>
            </w:pPr>
            <w:r>
              <w:rPr>
                <w:rFonts w:ascii="Times New Roman" w:cs="Times New Roman" w:eastAsia="Times New Roman" w:hAnsi="Times New Roman"/>
                <w:sz w:val="12"/>
                <w:szCs w:val="12"/>
                <w:color w:val="auto"/>
                <w:w w:val="99"/>
              </w:rPr>
              <w:t>Identification Number)</w:t>
            </w:r>
          </w:p>
        </w:tc>
        <w:tc>
          <w:tcPr>
            <w:tcW w:w="0" w:type="dxa"/>
            <w:vAlign w:val="bottom"/>
          </w:tcPr>
          <w:p>
            <w:pPr>
              <w:spacing w:after="0"/>
              <w:rPr>
                <w:sz w:val="1"/>
                <w:szCs w:val="1"/>
                <w:color w:val="auto"/>
              </w:rPr>
            </w:pPr>
          </w:p>
        </w:tc>
      </w:tr>
      <w:tr>
        <w:trPr>
          <w:trHeight w:val="226"/>
        </w:trPr>
        <w:tc>
          <w:tcPr>
            <w:tcW w:w="2220" w:type="dxa"/>
            <w:vAlign w:val="bottom"/>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rPr>
              <w:t>401 North Hershey Road</w:t>
            </w:r>
          </w:p>
        </w:tc>
        <w:tc>
          <w:tcPr>
            <w:tcW w:w="4440" w:type="dxa"/>
            <w:vAlign w:val="bottom"/>
          </w:tcPr>
          <w:p>
            <w:pPr>
              <w:spacing w:after="0"/>
              <w:rPr>
                <w:sz w:val="19"/>
                <w:szCs w:val="19"/>
                <w:color w:val="auto"/>
              </w:rPr>
            </w:pPr>
          </w:p>
        </w:tc>
        <w:tc>
          <w:tcPr>
            <w:tcW w:w="1880" w:type="dxa"/>
            <w:vAlign w:val="bottom"/>
            <w:vMerge w:val="restart"/>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61704</w:t>
            </w:r>
          </w:p>
        </w:tc>
        <w:tc>
          <w:tcPr>
            <w:tcW w:w="0" w:type="dxa"/>
            <w:vAlign w:val="bottom"/>
          </w:tcPr>
          <w:p>
            <w:pPr>
              <w:spacing w:after="0"/>
              <w:rPr>
                <w:sz w:val="1"/>
                <w:szCs w:val="1"/>
                <w:color w:val="auto"/>
              </w:rPr>
            </w:pPr>
          </w:p>
        </w:tc>
      </w:tr>
      <w:tr>
        <w:trPr>
          <w:trHeight w:val="157"/>
        </w:trPr>
        <w:tc>
          <w:tcPr>
            <w:tcW w:w="2220" w:type="dxa"/>
            <w:vAlign w:val="bottom"/>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rPr>
              <w:t>Bloomington, Illinois</w:t>
            </w:r>
          </w:p>
        </w:tc>
        <w:tc>
          <w:tcPr>
            <w:tcW w:w="4440" w:type="dxa"/>
            <w:vAlign w:val="bottom"/>
          </w:tcPr>
          <w:p>
            <w:pPr>
              <w:spacing w:after="0"/>
              <w:rPr>
                <w:sz w:val="13"/>
                <w:szCs w:val="13"/>
                <w:color w:val="auto"/>
              </w:rPr>
            </w:pPr>
          </w:p>
        </w:tc>
        <w:tc>
          <w:tcPr>
            <w:tcW w:w="1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220" w:type="dxa"/>
            <w:vAlign w:val="bottom"/>
          </w:tcPr>
          <w:p>
            <w:pPr>
              <w:jc w:val="center"/>
              <w:ind w:right="640"/>
              <w:spacing w:after="0" w:line="128" w:lineRule="exact"/>
              <w:rPr>
                <w:sz w:val="20"/>
                <w:szCs w:val="20"/>
                <w:color w:val="auto"/>
              </w:rPr>
            </w:pPr>
            <w:r>
              <w:rPr>
                <w:rFonts w:ascii="Times New Roman" w:cs="Times New Roman" w:eastAsia="Times New Roman" w:hAnsi="Times New Roman"/>
                <w:sz w:val="12"/>
                <w:szCs w:val="12"/>
                <w:color w:val="auto"/>
              </w:rPr>
              <w:t>(Address of principal executive</w:t>
            </w:r>
          </w:p>
        </w:tc>
        <w:tc>
          <w:tcPr>
            <w:tcW w:w="4440" w:type="dxa"/>
            <w:vAlign w:val="bottom"/>
          </w:tcPr>
          <w:p>
            <w:pPr>
              <w:spacing w:after="0"/>
              <w:rPr>
                <w:sz w:val="11"/>
                <w:szCs w:val="11"/>
                <w:color w:val="auto"/>
              </w:rPr>
            </w:pPr>
          </w:p>
        </w:tc>
        <w:tc>
          <w:tcPr>
            <w:tcW w:w="1880" w:type="dxa"/>
            <w:vAlign w:val="bottom"/>
          </w:tcPr>
          <w:p>
            <w:pPr>
              <w:jc w:val="center"/>
              <w:ind w:left="720"/>
              <w:spacing w:after="0" w:line="128" w:lineRule="exact"/>
              <w:rPr>
                <w:sz w:val="20"/>
                <w:szCs w:val="20"/>
                <w:color w:val="auto"/>
              </w:rPr>
            </w:pPr>
            <w:r>
              <w:rPr>
                <w:rFonts w:ascii="Times New Roman" w:cs="Times New Roman" w:eastAsia="Times New Roman" w:hAnsi="Times New Roman"/>
                <w:sz w:val="12"/>
                <w:szCs w:val="12"/>
                <w:color w:val="auto"/>
              </w:rPr>
              <w:t>(Zip Code)</w:t>
            </w:r>
          </w:p>
        </w:tc>
        <w:tc>
          <w:tcPr>
            <w:tcW w:w="0" w:type="dxa"/>
            <w:vAlign w:val="bottom"/>
          </w:tcPr>
          <w:p>
            <w:pPr>
              <w:spacing w:after="0"/>
              <w:rPr>
                <w:sz w:val="1"/>
                <w:szCs w:val="1"/>
                <w:color w:val="auto"/>
              </w:rPr>
            </w:pPr>
          </w:p>
        </w:tc>
      </w:tr>
      <w:tr>
        <w:trPr>
          <w:trHeight w:val="155"/>
        </w:trPr>
        <w:tc>
          <w:tcPr>
            <w:tcW w:w="2220" w:type="dxa"/>
            <w:vAlign w:val="bottom"/>
          </w:tcPr>
          <w:p>
            <w:pPr>
              <w:jc w:val="center"/>
              <w:ind w:right="640"/>
              <w:spacing w:after="0"/>
              <w:rPr>
                <w:sz w:val="20"/>
                <w:szCs w:val="20"/>
                <w:color w:val="auto"/>
              </w:rPr>
            </w:pPr>
            <w:r>
              <w:rPr>
                <w:rFonts w:ascii="Times New Roman" w:cs="Times New Roman" w:eastAsia="Times New Roman" w:hAnsi="Times New Roman"/>
                <w:sz w:val="12"/>
                <w:szCs w:val="12"/>
                <w:color w:val="auto"/>
                <w:w w:val="98"/>
              </w:rPr>
              <w:t>offices)</w:t>
            </w:r>
          </w:p>
        </w:tc>
        <w:tc>
          <w:tcPr>
            <w:tcW w:w="44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8"/>
        </w:trPr>
        <w:tc>
          <w:tcPr>
            <w:tcW w:w="2220" w:type="dxa"/>
            <w:vAlign w:val="bottom"/>
          </w:tcPr>
          <w:p>
            <w:pPr>
              <w:spacing w:after="0"/>
              <w:rPr>
                <w:sz w:val="24"/>
                <w:szCs w:val="24"/>
                <w:color w:val="auto"/>
              </w:rPr>
            </w:pPr>
          </w:p>
        </w:tc>
        <w:tc>
          <w:tcPr>
            <w:tcW w:w="444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(309) 662-4444</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(Registrant’s telephone number, including area code)</w:t>
            </w: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2220" w:type="dxa"/>
            <w:vAlign w:val="bottom"/>
          </w:tcPr>
          <w:p>
            <w:pPr>
              <w:spacing w:after="0"/>
              <w:rPr>
                <w:sz w:val="17"/>
                <w:szCs w:val="17"/>
                <w:color w:val="auto"/>
              </w:rPr>
            </w:pPr>
          </w:p>
        </w:tc>
        <w:tc>
          <w:tcPr>
            <w:tcW w:w="4440" w:type="dxa"/>
            <w:vAlign w:val="bottom"/>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6"/>
              </w:rPr>
              <w:t>N/A</w:t>
            </w: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444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1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2"/>
          <w:szCs w:val="12"/>
          <w:i w:val="1"/>
          <w:iCs w:val="1"/>
          <w:color w:val="auto"/>
        </w:rPr>
        <w:t>see</w:t>
      </w:r>
      <w:r>
        <w:rPr>
          <w:rFonts w:ascii="Times New Roman" w:cs="Times New Roman" w:eastAsia="Times New Roman" w:hAnsi="Times New Roman"/>
          <w:sz w:val="12"/>
          <w:szCs w:val="12"/>
          <w:color w:val="auto"/>
        </w:rPr>
        <w:t xml:space="preserve"> General Instruction A.2. below):</w:t>
      </w:r>
    </w:p>
    <w:p>
      <w:pPr>
        <w:spacing w:after="0" w:line="269" w:lineRule="exact"/>
        <w:rPr>
          <w:sz w:val="24"/>
          <w:szCs w:val="24"/>
          <w:color w:val="auto"/>
        </w:rPr>
      </w:pPr>
    </w:p>
    <w:p>
      <w:pPr>
        <w:ind w:left="460" w:hanging="456"/>
        <w:spacing w:after="0"/>
        <w:tabs>
          <w:tab w:leader="none" w:pos="4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33" w:lineRule="exact"/>
        <w:rPr>
          <w:rFonts w:ascii="MS PGothic" w:cs="MS PGothic" w:eastAsia="MS PGothic" w:hAnsi="MS PGothic"/>
          <w:sz w:val="12"/>
          <w:szCs w:val="12"/>
          <w:color w:val="auto"/>
        </w:rPr>
      </w:pPr>
    </w:p>
    <w:p>
      <w:pPr>
        <w:ind w:left="460" w:hanging="456"/>
        <w:spacing w:after="0"/>
        <w:tabs>
          <w:tab w:leader="none" w:pos="4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34" w:lineRule="exact"/>
        <w:rPr>
          <w:rFonts w:ascii="MS PGothic" w:cs="MS PGothic" w:eastAsia="MS PGothic" w:hAnsi="MS PGothic"/>
          <w:sz w:val="12"/>
          <w:szCs w:val="12"/>
          <w:color w:val="auto"/>
        </w:rPr>
      </w:pPr>
    </w:p>
    <w:p>
      <w:pPr>
        <w:ind w:left="460" w:hanging="456"/>
        <w:spacing w:after="0"/>
        <w:tabs>
          <w:tab w:leader="none" w:pos="4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33" w:lineRule="exact"/>
        <w:rPr>
          <w:rFonts w:ascii="MS PGothic" w:cs="MS PGothic" w:eastAsia="MS PGothic" w:hAnsi="MS PGothic"/>
          <w:sz w:val="12"/>
          <w:szCs w:val="12"/>
          <w:color w:val="auto"/>
        </w:rPr>
      </w:pPr>
    </w:p>
    <w:p>
      <w:pPr>
        <w:ind w:left="460" w:hanging="456"/>
        <w:spacing w:after="0"/>
        <w:tabs>
          <w:tab w:leader="none" w:pos="4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87" w:lineRule="exact"/>
        <w:rPr>
          <w:sz w:val="24"/>
          <w:szCs w:val="24"/>
          <w:color w:val="auto"/>
        </w:rPr>
      </w:pPr>
    </w:p>
    <w:tbl>
      <w:tblPr>
        <w:tblLayout w:type="fixed"/>
        <w:tblInd w:w="10" w:type="dxa"/>
        <w:tblCellMar>
          <w:top w:w="0" w:type="dxa"/>
          <w:left w:w="0" w:type="dxa"/>
          <w:bottom w:w="0" w:type="dxa"/>
          <w:right w:w="0" w:type="dxa"/>
        </w:tblCellMar>
      </w:tblPr>
      <w:tr>
        <w:trPr>
          <w:trHeight w:val="175"/>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4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60"/>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par value $0.01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HBT</w:t>
            </w:r>
          </w:p>
        </w:tc>
        <w:tc>
          <w:tcPr>
            <w:tcW w:w="4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The Nasdaq Stock Market LLC</w:t>
            </w:r>
          </w:p>
        </w:tc>
      </w:tr>
    </w:tbl>
    <w:p>
      <w:pPr>
        <w:spacing w:after="0" w:line="187" w:lineRule="exact"/>
        <w:rPr>
          <w:sz w:val="24"/>
          <w:szCs w:val="24"/>
          <w:color w:val="auto"/>
        </w:rPr>
      </w:pPr>
    </w:p>
    <w:p>
      <w:pPr>
        <w:ind w:right="14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4"/>
          <w:szCs w:val="14"/>
          <w:color w:val="auto"/>
        </w:rPr>
        <w:t>☐</w:t>
      </w:r>
    </w:p>
    <w:p>
      <w:pPr>
        <w:spacing w:after="0" w:line="184" w:lineRule="exact"/>
        <w:rPr>
          <w:sz w:val="24"/>
          <w:szCs w:val="24"/>
          <w:color w:val="auto"/>
        </w:rPr>
      </w:pPr>
    </w:p>
    <w:p>
      <w:pPr>
        <w:ind w:right="60"/>
        <w:spacing w:after="0" w:line="178"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488950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55880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73025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9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5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rPr>
        <w:t>On April 27, 2026, HBT Financial, Inc. (the “Company”) issued a press release announcing its financial results for the first quarter ended March 31, 2026 (the “Earnings Release”). A copy of the Earnings Release is furnished as Exhibit 99.1 to this Current Report on Form 8-K (this “Report”) and is incorporated herein by reference.</w:t>
      </w:r>
    </w:p>
    <w:p>
      <w:pPr>
        <w:spacing w:after="0" w:line="10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2"/>
          <w:szCs w:val="12"/>
          <w:i w:val="1"/>
          <w:iCs w:val="1"/>
          <w:color w:val="auto"/>
        </w:rPr>
        <w:t>The information contained in Item 2.02, including Exhibit 99.1 furnished herewith, shall not be deemed “filed” for purposes of Section 18 of the Securities Exchange Act of 1934, as amended (the “Exchange Act”), or otherwise subject to the liabilities under that section, nor shall it be deemed incorporated by reference into any registration statement or other document pursuant to the Securities Act of 1933, as amended (the “Securities Act”), or into any filing or other document pursuant to the Exchange Act, except to the extent required by applicable law or regulation.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auto"/>
        </w:rPr>
        <w:t>The Company has prepared a presentation of its results for the first quarter ended March 31, 2026 (the “Presentation”) to be used from time to time during meetings with members of the investment community. A copy of the Presentation is furnished as Exhibit 99.2 to this Report and is incorporated herein by reference. The Presentation will also be made available on the Company’s investor relations website at ir.hbtfinancial.com under the Presentations section.</w:t>
      </w:r>
    </w:p>
    <w:p>
      <w:pPr>
        <w:spacing w:after="0" w:line="11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2"/>
          <w:szCs w:val="12"/>
          <w:i w:val="1"/>
          <w:iCs w:val="1"/>
          <w:color w:val="auto"/>
        </w:rPr>
        <w:t>The information contained in Item 7.01, including Exhibit 99.2 furnished herewith, shall not be deemed “filed” for purposes of Section 18 of the Exchange Act, or otherwise subject to the liabilities under that section, nor shall it be deemed incorporated by reference into any registration statement or other document pursuant to the Securities Act, or into any filing or other document pursuant to the Exchange Act, except to the extent required by applicable law or regulation.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5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9780" w:type="dxa"/>
            <w:vAlign w:val="bottom"/>
          </w:tcPr>
          <w:p>
            <w:pPr>
              <w:ind w:left="700"/>
              <w:spacing w:after="0"/>
              <w:rPr>
                <w:sz w:val="20"/>
                <w:szCs w:val="20"/>
                <w:color w:val="auto"/>
              </w:rPr>
            </w:pPr>
            <w:r>
              <w:rPr>
                <w:rFonts w:ascii="Times New Roman" w:cs="Times New Roman" w:eastAsia="Times New Roman" w:hAnsi="Times New Roman"/>
                <w:sz w:val="12"/>
                <w:szCs w:val="12"/>
                <w:b w:val="1"/>
                <w:bCs w:val="1"/>
                <w:color w:val="auto"/>
              </w:rPr>
              <w:t>Description of Exhibit</w:t>
            </w:r>
          </w:p>
        </w:tc>
      </w:tr>
      <w:tr>
        <w:trPr>
          <w:trHeight w:val="216"/>
        </w:trPr>
        <w:tc>
          <w:tcPr>
            <w:tcW w:w="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1300" w:type="dxa"/>
            <w:vAlign w:val="bottom"/>
          </w:tcPr>
          <w:p>
            <w:pPr>
              <w:spacing w:after="0"/>
              <w:rPr>
                <w:sz w:val="18"/>
                <w:szCs w:val="18"/>
                <w:color w:val="auto"/>
              </w:rPr>
            </w:pPr>
          </w:p>
        </w:tc>
        <w:tc>
          <w:tcPr>
            <w:tcW w:w="978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Earnings Release issued April 27, 2026 for the First Quarter Ended March 31, 2026.</w:t>
            </w:r>
          </w:p>
        </w:tc>
      </w:tr>
      <w:tr>
        <w:trPr>
          <w:trHeight w:val="223"/>
        </w:trPr>
        <w:tc>
          <w:tcPr>
            <w:tcW w:w="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2</w:t>
            </w:r>
          </w:p>
        </w:tc>
        <w:tc>
          <w:tcPr>
            <w:tcW w:w="1300" w:type="dxa"/>
            <w:vAlign w:val="bottom"/>
          </w:tcPr>
          <w:p>
            <w:pPr>
              <w:spacing w:after="0"/>
              <w:rPr>
                <w:sz w:val="19"/>
                <w:szCs w:val="19"/>
                <w:color w:val="auto"/>
              </w:rPr>
            </w:pPr>
          </w:p>
        </w:tc>
        <w:tc>
          <w:tcPr>
            <w:tcW w:w="978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Presentation of Results for the First Quarter Ended March 31, 2026.</w:t>
            </w:r>
          </w:p>
        </w:tc>
      </w:tr>
      <w:tr>
        <w:trPr>
          <w:trHeight w:val="250"/>
        </w:trPr>
        <w:tc>
          <w:tcPr>
            <w:tcW w:w="22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300" w:type="dxa"/>
            <w:vAlign w:val="bottom"/>
          </w:tcPr>
          <w:p>
            <w:pPr>
              <w:spacing w:after="0"/>
              <w:rPr>
                <w:sz w:val="21"/>
                <w:szCs w:val="21"/>
                <w:color w:val="auto"/>
              </w:rPr>
            </w:pPr>
          </w:p>
        </w:tc>
        <w:tc>
          <w:tcPr>
            <w:tcW w:w="9780" w:type="dxa"/>
            <w:vAlign w:val="bottom"/>
          </w:tcPr>
          <w:p>
            <w:pPr>
              <w:ind w:left="700"/>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684"/>
        </w:trPr>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9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809"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2"/>
          <w:szCs w:val="12"/>
          <w:b w:val="1"/>
          <w:bCs w:val="1"/>
          <w:color w:val="auto"/>
        </w:rPr>
        <w:t>HBT FINANCIAL, INC.</w:t>
      </w:r>
    </w:p>
    <w:p>
      <w:pPr>
        <w:spacing w:after="0" w:line="226" w:lineRule="exact"/>
        <w:rPr>
          <w:sz w:val="20"/>
          <w:szCs w:val="20"/>
          <w:color w:val="auto"/>
        </w:rPr>
      </w:pPr>
    </w:p>
    <w:tbl>
      <w:tblPr>
        <w:tblLayout w:type="fixed"/>
        <w:tblInd w:w="5440" w:type="dxa"/>
        <w:tblCellMar>
          <w:top w:w="0" w:type="dxa"/>
          <w:left w:w="0" w:type="dxa"/>
          <w:bottom w:w="0" w:type="dxa"/>
          <w:right w:w="0" w:type="dxa"/>
        </w:tblCellMar>
      </w:tblPr>
      <w:tr>
        <w:trPr>
          <w:trHeight w:val="155"/>
        </w:trPr>
        <w:tc>
          <w:tcPr>
            <w:tcW w:w="48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Peter R. Chapman</w:t>
            </w:r>
          </w:p>
        </w:tc>
      </w:tr>
      <w:tr>
        <w:trPr>
          <w:trHeight w:val="140"/>
        </w:trPr>
        <w:tc>
          <w:tcPr>
            <w:tcW w:w="480" w:type="dxa"/>
            <w:vAlign w:val="bottom"/>
          </w:tcPr>
          <w:p>
            <w:pPr>
              <w:spacing w:after="0"/>
              <w:rPr>
                <w:sz w:val="12"/>
                <w:szCs w:val="12"/>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Name: Peter R. Chapman</w:t>
            </w:r>
          </w:p>
        </w:tc>
      </w:tr>
      <w:tr>
        <w:trPr>
          <w:trHeight w:val="155"/>
        </w:trPr>
        <w:tc>
          <w:tcPr>
            <w:tcW w:w="48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2"/>
                <w:szCs w:val="12"/>
                <w:color w:val="auto"/>
              </w:rPr>
              <w:t>Title: Chief Financial Officer</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April 27, 2026</w:t>
      </w:r>
    </w:p>
    <w:p>
      <w:pPr>
        <w:sectPr>
          <w:pgSz w:w="11900" w:h="16838" w:orient="portrait"/>
          <w:cols w:equalWidth="0" w:num="1">
            <w:col w:w="11300"/>
          </w:cols>
          <w:pgMar w:left="300" w:top="809"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1365885"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588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HBT FINANCIAL, INC. ANNOUNCES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FIRST QUARTER 2026 FINANCIAL RESULTS</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First Quarter Highlights</w:t>
      </w:r>
    </w:p>
    <w:p>
      <w:pPr>
        <w:spacing w:after="0" w:line="150" w:lineRule="exact"/>
        <w:rPr>
          <w:sz w:val="20"/>
          <w:szCs w:val="20"/>
          <w:color w:val="auto"/>
        </w:rPr>
      </w:pPr>
    </w:p>
    <w:p>
      <w:pPr>
        <w:ind w:left="420" w:right="20" w:hanging="212"/>
        <w:spacing w:after="0" w:line="299" w:lineRule="auto"/>
        <w:tabs>
          <w:tab w:leader="none" w:pos="417"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Net income of $11.2 million, or $0.34 per diluted share; return on average assets (“ROAA”) of 0.80%; return on average stockholders' equity (“ROAE”) of 6.77%; and return on average tangible common equity (“ROATCE”)</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of 7.87%</w:t>
      </w:r>
    </w:p>
    <w:p>
      <w:pPr>
        <w:spacing w:after="0" w:line="42"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Adjusted net income</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of $22.6 million, or $0.68 per diluted share; adjusted ROAA</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of 1.60%; adjusted ROAE</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of 13.67%; and adjusted ROATCE</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of 15.89%</w:t>
      </w:r>
    </w:p>
    <w:p>
      <w:pPr>
        <w:spacing w:after="0" w:line="118"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b w:val="1"/>
          <w:bCs w:val="1"/>
          <w:color w:val="auto"/>
        </w:rPr>
      </w:pPr>
      <w:r>
        <w:rPr>
          <w:rFonts w:ascii="Arial" w:cs="Arial" w:eastAsia="Arial" w:hAnsi="Arial"/>
          <w:sz w:val="12"/>
          <w:szCs w:val="12"/>
          <w:b w:val="1"/>
          <w:bCs w:val="1"/>
          <w:color w:val="auto"/>
        </w:rPr>
        <w:t>Completed merger with CNB Bank Shares, Inc. (“CNB”) on March 1, 2026 and core system conversion successfully completed in March 2026</w:t>
      </w:r>
    </w:p>
    <w:p>
      <w:pPr>
        <w:spacing w:after="0" w:line="150" w:lineRule="exact"/>
        <w:rPr>
          <w:rFonts w:ascii="Arial" w:cs="Arial" w:eastAsia="Arial" w:hAnsi="Arial"/>
          <w:sz w:val="12"/>
          <w:szCs w:val="12"/>
          <w:b w:val="1"/>
          <w:bCs w:val="1"/>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Asset quality remained strong with nonperforming assets to total assets of 0.21% and net charge-offs to average loans of 0.08%, on an annualized basis</w:t>
      </w:r>
    </w:p>
    <w:p>
      <w:pPr>
        <w:spacing w:after="0" w:line="147" w:lineRule="exact"/>
        <w:rPr>
          <w:rFonts w:ascii="Arial" w:cs="Arial" w:eastAsia="Arial" w:hAnsi="Arial"/>
          <w:sz w:val="12"/>
          <w:szCs w:val="12"/>
          <w:color w:val="auto"/>
        </w:rPr>
      </w:pPr>
    </w:p>
    <w:p>
      <w:pPr>
        <w:ind w:left="420" w:hanging="212"/>
        <w:spacing w:after="0"/>
        <w:tabs>
          <w:tab w:leader="none" w:pos="42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Net interest margin increased 8 basis points to 4.20% and net interest margin (tax-equivalent basis)</w:t>
      </w:r>
      <w:r>
        <w:rPr>
          <w:rFonts w:ascii="Arial" w:cs="Arial" w:eastAsia="Arial" w:hAnsi="Arial"/>
          <w:sz w:val="15"/>
          <w:szCs w:val="15"/>
          <w:b w:val="1"/>
          <w:bCs w:val="1"/>
          <w:color w:val="auto"/>
          <w:vertAlign w:val="superscript"/>
        </w:rPr>
        <w:t>(1)</w:t>
      </w:r>
      <w:r>
        <w:rPr>
          <w:rFonts w:ascii="Arial" w:cs="Arial" w:eastAsia="Arial" w:hAnsi="Arial"/>
          <w:sz w:val="12"/>
          <w:szCs w:val="12"/>
          <w:b w:val="1"/>
          <w:bCs w:val="1"/>
          <w:color w:val="auto"/>
        </w:rPr>
        <w:t xml:space="preserve"> increased 9 basis points to 4.25%</w:t>
      </w:r>
    </w:p>
    <w:p>
      <w:pPr>
        <w:spacing w:after="0" w:line="118" w:lineRule="exact"/>
        <w:rPr>
          <w:sz w:val="20"/>
          <w:szCs w:val="20"/>
          <w:color w:val="auto"/>
        </w:rPr>
      </w:pPr>
    </w:p>
    <w:p>
      <w:pPr>
        <w:jc w:val="both"/>
        <w:ind w:right="240"/>
        <w:spacing w:after="0" w:line="268" w:lineRule="auto"/>
        <w:rPr>
          <w:sz w:val="20"/>
          <w:szCs w:val="20"/>
          <w:color w:val="auto"/>
        </w:rPr>
      </w:pPr>
      <w:r>
        <w:rPr>
          <w:rFonts w:ascii="Arial" w:cs="Arial" w:eastAsia="Arial" w:hAnsi="Arial"/>
          <w:sz w:val="12"/>
          <w:szCs w:val="12"/>
          <w:b w:val="1"/>
          <w:bCs w:val="1"/>
          <w:color w:val="auto"/>
        </w:rPr>
        <w:t xml:space="preserve">Bloomington, IL, April 27, 2026 </w:t>
      </w:r>
      <w:r>
        <w:rPr>
          <w:rFonts w:ascii="Arial" w:cs="Arial" w:eastAsia="Arial" w:hAnsi="Arial"/>
          <w:sz w:val="12"/>
          <w:szCs w:val="12"/>
          <w:color w:val="auto"/>
        </w:rPr>
        <w:t>– HBT Financial, Inc. (NASDAQ: HBT) (the “Company”, “HBT Financial” or “HBT”), the holding company for Heartland Bank and Trust Company, today reported net income of</w:t>
      </w:r>
      <w:r>
        <w:rPr>
          <w:rFonts w:ascii="Arial" w:cs="Arial" w:eastAsia="Arial" w:hAnsi="Arial"/>
          <w:sz w:val="12"/>
          <w:szCs w:val="12"/>
          <w:b w:val="1"/>
          <w:bCs w:val="1"/>
          <w:color w:val="auto"/>
        </w:rPr>
        <w:t xml:space="preserve"> </w:t>
      </w:r>
      <w:r>
        <w:rPr>
          <w:rFonts w:ascii="Arial" w:cs="Arial" w:eastAsia="Arial" w:hAnsi="Arial"/>
          <w:sz w:val="12"/>
          <w:szCs w:val="12"/>
          <w:color w:val="auto"/>
        </w:rPr>
        <w:t>$11.2 million, or $0.34 diluted earnings per share, for the first quarter of 2026. This compares to net income of $18.9 million, or $0.60 diluted earnings per share, for the fourth quarter of 2025, and net income of $19.1 million, or $0.60 diluted earnings per share, for the first quarter of 2025.</w:t>
      </w:r>
    </w:p>
    <w:p>
      <w:pPr>
        <w:spacing w:after="0" w:line="114" w:lineRule="exact"/>
        <w:rPr>
          <w:sz w:val="20"/>
          <w:szCs w:val="20"/>
          <w:color w:val="auto"/>
        </w:rPr>
      </w:pPr>
    </w:p>
    <w:p>
      <w:pPr>
        <w:ind w:right="80"/>
        <w:spacing w:after="0" w:line="268" w:lineRule="auto"/>
        <w:rPr>
          <w:sz w:val="20"/>
          <w:szCs w:val="20"/>
          <w:color w:val="auto"/>
        </w:rPr>
      </w:pPr>
      <w:r>
        <w:rPr>
          <w:rFonts w:ascii="Arial" w:cs="Arial" w:eastAsia="Arial" w:hAnsi="Arial"/>
          <w:sz w:val="12"/>
          <w:szCs w:val="12"/>
          <w:color w:val="auto"/>
        </w:rPr>
        <w:t>J. Lance Carter, President and Chief Executive Officer of HBT Financial, said, “We are off to a great start in 2026 with the closing of our acquisition of CNB and its wholly-owned subsidiary, CNB Bank &amp; Trust, N.A. (“CNB Bank”), on March 1. We also successfully completed our systems conversions in March and have been busy welcoming our new customers and colleagues. We are excited for the opportunities that lie ahead.</w:t>
      </w:r>
    </w:p>
    <w:p>
      <w:pPr>
        <w:spacing w:after="0" w:line="113" w:lineRule="exact"/>
        <w:rPr>
          <w:sz w:val="20"/>
          <w:szCs w:val="20"/>
          <w:color w:val="auto"/>
        </w:rPr>
      </w:pPr>
    </w:p>
    <w:p>
      <w:pPr>
        <w:ind w:right="40"/>
        <w:spacing w:after="0" w:line="213" w:lineRule="auto"/>
        <w:rPr>
          <w:sz w:val="20"/>
          <w:szCs w:val="20"/>
          <w:color w:val="auto"/>
        </w:rPr>
      </w:pPr>
      <w:r>
        <w:rPr>
          <w:rFonts w:ascii="Arial" w:cs="Arial" w:eastAsia="Arial" w:hAnsi="Arial"/>
          <w:sz w:val="12"/>
          <w:szCs w:val="12"/>
          <w:color w:val="auto"/>
        </w:rPr>
        <w:t>“Results for the first quarter were strong and consistent with adjusted net income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of $22.6 million, or $0.68 per diluted share. Adjusted ROAA</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was 1.60% and adjusted ROATCE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was 15.89% as we continue to report strong returns. Our net interest margin on a tax equivalent basis</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increased by 9 basis points to 4.25% when compared to the fourth quarter of 2025. The increase was primarily driven by continued higher asset repricing for maturing fixed rate loans and securities. Our tangible book value per share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decreased by 1.1% for the quarter to $17.01 due to the CNB acquisition, elevated share repurchase activity, and a decrease in accumulated other comprehensive income (“AOCI”) due to higher market interest rates; however, our tangible book value per share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has nonetheless increased by 10.2% since the first quarter of 2025.</w:t>
      </w:r>
    </w:p>
    <w:p>
      <w:pPr>
        <w:spacing w:after="0" w:line="130"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“Our balance sheet remains strong with good liquidity, solid capital ratios, and no significant credit issues. That gives us confidence that we are prepared for a variety of different economic environments. Our capital levels and operational structure support continued organic growth and attractive acquisition opportunities should the right opportunity arise.”</w:t>
      </w:r>
    </w:p>
    <w:p>
      <w:pPr>
        <w:spacing w:after="0" w:line="228" w:lineRule="auto"/>
        <w:rPr>
          <w:sz w:val="20"/>
          <w:szCs w:val="20"/>
          <w:color w:val="auto"/>
        </w:rPr>
      </w:pPr>
      <w:r>
        <w:rPr>
          <w:rFonts w:ascii="Arial" w:cs="Arial" w:eastAsia="Arial" w:hAnsi="Arial"/>
          <w:sz w:val="10"/>
          <w:szCs w:val="10"/>
          <w:color w:val="auto"/>
        </w:rPr>
        <w:t>____________________________________</w:t>
      </w:r>
    </w:p>
    <w:p>
      <w:pPr>
        <w:spacing w:after="0"/>
        <w:tabs>
          <w:tab w:leader="none" w:pos="1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8"/>
          <w:szCs w:val="8"/>
          <w:color w:val="auto"/>
        </w:rPr>
        <w:t>See “Reconciliation of Non-GAAP Financial Measures” below for reconciliation of non-GAAP financial measures to their most closely comparable GAAP financial measures.</w:t>
      </w:r>
    </w:p>
    <w:p>
      <w:pPr>
        <w:sectPr>
          <w:pgSz w:w="11900" w:h="16838" w:orient="portrait"/>
          <w:cols w:equalWidth="0" w:num="1">
            <w:col w:w="11300"/>
          </w:cols>
          <w:pgMar w:left="300" w:top="811" w:right="299" w:bottom="1440" w:gutter="0" w:footer="0" w:header="0"/>
        </w:sectPr>
      </w:pPr>
    </w:p>
    <w:bookmarkStart w:id="4" w:name="page5"/>
    <w:bookmarkEnd w:id="4"/>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Adjusted Net Income</w:t>
      </w:r>
    </w:p>
    <w:p>
      <w:pPr>
        <w:spacing w:after="0" w:line="150" w:lineRule="exact"/>
        <w:rPr>
          <w:sz w:val="20"/>
          <w:szCs w:val="20"/>
          <w:color w:val="auto"/>
        </w:rPr>
      </w:pPr>
    </w:p>
    <w:p>
      <w:pPr>
        <w:ind w:right="60"/>
        <w:spacing w:after="0" w:line="257" w:lineRule="auto"/>
        <w:rPr>
          <w:sz w:val="20"/>
          <w:szCs w:val="20"/>
          <w:color w:val="auto"/>
        </w:rPr>
      </w:pPr>
      <w:r>
        <w:rPr>
          <w:rFonts w:ascii="Arial" w:cs="Arial" w:eastAsia="Arial" w:hAnsi="Arial"/>
          <w:sz w:val="12"/>
          <w:szCs w:val="12"/>
          <w:color w:val="auto"/>
        </w:rPr>
        <w:t>In addition to reporting GAAP results, the Company believes non-GAAP measures such as adjusted net income and adjusted earnings per share, which adjust for acquisition expenses, branch closure expenses, net earnings (losses) on closed or sold operations, losses on extinguishment of debt, gains (losses) on closed branch premises, realized gains (losses) on sales of securities, mortgage servicing rights (“MSR”) fair value adjustments, and the tax effect of these pre-tax adjustments, provide investors with additional insight into its operational performance. The Company reported adjusted net income of $ 22.6 million, or $0.68 adjusted diluted earnings per share, for the first quarter of 2026. This compares to adjusted net income of $20.1 million, or $0.64 adjusted diluted earnings per share, for the fourth quarter of 2025, and adjusted net income of $19.3 million, or $0.61 adjusted diluted earnings per share, for the first quarter of 2025. See “Reconciliation of Non-GAAP Financial Measures” tables below for reconciliation of non-GAAP financial measures to their most closely comparable GAAP financial measures.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Acquisition of CNB Bank Shares, Inc.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On March 1, 2026, HBT Financial completed its previously announced acquisition of CNB and CNB Bank. The combined company will have increased density in the central Illinois, the Chicago MSA, and the St.</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Louis MSA markets. After considering business combination accounting adjustments, CNB added total assets of $1.8 billion, total loans held for investment of $1.3 billion, and total deposits of $1.5 billion.</w:t>
      </w:r>
    </w:p>
    <w:p>
      <w:pPr>
        <w:spacing w:after="0" w:line="138" w:lineRule="exact"/>
        <w:rPr>
          <w:sz w:val="20"/>
          <w:szCs w:val="20"/>
          <w:color w:val="auto"/>
        </w:rPr>
      </w:pPr>
    </w:p>
    <w:p>
      <w:pPr>
        <w:ind w:right="500"/>
        <w:spacing w:after="0" w:line="286" w:lineRule="auto"/>
        <w:rPr>
          <w:sz w:val="20"/>
          <w:szCs w:val="20"/>
          <w:color w:val="auto"/>
        </w:rPr>
      </w:pPr>
      <w:r>
        <w:rPr>
          <w:rFonts w:ascii="Arial" w:cs="Arial" w:eastAsia="Arial" w:hAnsi="Arial"/>
          <w:sz w:val="12"/>
          <w:szCs w:val="12"/>
          <w:color w:val="auto"/>
        </w:rPr>
        <w:t>Cash consideration of $33.8 million and stock consideration of 5.5 million shares of HBT Financial common stock resulted in aggregate consideration of $182.1 million, based upon the closing price of HBT Financial common stock of $26.96 on February 27, 2026. Goodwill of $23.7 million was recorded in the acquisition.</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color w:val="auto"/>
        </w:rPr>
        <w:t>Acquisition-related expenses consisted of the following during the first quarter of 2026 and fourth quarter of 2025: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7120" w:type="dxa"/>
            <w:vAlign w:val="bottom"/>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0"/>
                <w:szCs w:val="10"/>
                <w:b w:val="1"/>
                <w:bCs w:val="1"/>
                <w:color w:val="auto"/>
              </w:rPr>
              <w:t>Three Months Ended</w:t>
            </w:r>
          </w:p>
        </w:tc>
        <w:tc>
          <w:tcPr>
            <w:tcW w:w="14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712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1420" w:type="dxa"/>
            <w:vAlign w:val="bottom"/>
          </w:tcPr>
          <w:p>
            <w:pPr>
              <w:jc w:val="right"/>
              <w:ind w:right="132"/>
              <w:spacing w:after="0" w:line="92" w:lineRule="exact"/>
              <w:rPr>
                <w:sz w:val="20"/>
                <w:szCs w:val="20"/>
                <w:color w:val="auto"/>
              </w:rPr>
            </w:pPr>
            <w:r>
              <w:rPr>
                <w:rFonts w:ascii="Arial" w:cs="Arial" w:eastAsia="Arial" w:hAnsi="Arial"/>
                <w:sz w:val="10"/>
                <w:szCs w:val="10"/>
                <w:b w:val="1"/>
                <w:bCs w:val="1"/>
                <w:color w:val="auto"/>
              </w:rPr>
              <w:t>March 31,</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80" w:type="dxa"/>
            <w:vAlign w:val="bottom"/>
          </w:tcPr>
          <w:p>
            <w:pPr>
              <w:jc w:val="right"/>
              <w:ind w:right="662"/>
              <w:spacing w:after="0" w:line="92" w:lineRule="exact"/>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32"/>
        </w:trPr>
        <w:tc>
          <w:tcPr>
            <w:tcW w:w="7120" w:type="dxa"/>
            <w:vAlign w:val="bottom"/>
            <w:vMerge w:val="continue"/>
          </w:tcPr>
          <w:p>
            <w:pPr>
              <w:spacing w:after="0"/>
              <w:rPr>
                <w:sz w:val="11"/>
                <w:szCs w:val="11"/>
                <w:color w:val="auto"/>
              </w:rPr>
            </w:pPr>
          </w:p>
        </w:tc>
        <w:tc>
          <w:tcPr>
            <w:tcW w:w="1420" w:type="dxa"/>
            <w:vAlign w:val="bottom"/>
            <w:tcBorders>
              <w:bottom w:val="single" w:sz="8" w:color="auto"/>
            </w:tcBorders>
          </w:tcPr>
          <w:p>
            <w:pPr>
              <w:jc w:val="right"/>
              <w:ind w:right="252"/>
              <w:spacing w:after="0"/>
              <w:rPr>
                <w:sz w:val="20"/>
                <w:szCs w:val="20"/>
                <w:color w:val="auto"/>
              </w:rPr>
            </w:pPr>
            <w:r>
              <w:rPr>
                <w:rFonts w:ascii="Arial" w:cs="Arial" w:eastAsia="Arial" w:hAnsi="Arial"/>
                <w:sz w:val="10"/>
                <w:szCs w:val="10"/>
                <w:b w:val="1"/>
                <w:bCs w:val="1"/>
                <w:color w:val="auto"/>
              </w:rPr>
              <w:t>2026</w:t>
            </w: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ind w:right="86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79"/>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Salaries</w:t>
            </w:r>
          </w:p>
        </w:tc>
        <w:tc>
          <w:tcPr>
            <w:tcW w:w="1420" w:type="dxa"/>
            <w:vAlign w:val="bottom"/>
            <w:shd w:val="clear" w:color="auto" w:fill="CCEEFF"/>
          </w:tcPr>
          <w:p>
            <w:pPr>
              <w:jc w:val="right"/>
              <w:ind w:right="1312"/>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4,003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40"/>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w:t>
            </w:r>
          </w:p>
        </w:tc>
        <w:tc>
          <w:tcPr>
            <w:tcW w:w="0" w:type="dxa"/>
            <w:vAlign w:val="bottom"/>
          </w:tcPr>
          <w:p>
            <w:pPr>
              <w:spacing w:after="0"/>
              <w:rPr>
                <w:sz w:val="1"/>
                <w:szCs w:val="1"/>
                <w:color w:val="auto"/>
              </w:rPr>
            </w:pPr>
          </w:p>
        </w:tc>
      </w:tr>
      <w:tr>
        <w:trPr>
          <w:trHeight w:val="168"/>
        </w:trPr>
        <w:tc>
          <w:tcPr>
            <w:tcW w:w="7120" w:type="dxa"/>
            <w:vAlign w:val="bottom"/>
          </w:tcPr>
          <w:p>
            <w:pPr>
              <w:spacing w:after="0"/>
              <w:rPr>
                <w:sz w:val="20"/>
                <w:szCs w:val="20"/>
                <w:color w:val="auto"/>
              </w:rPr>
            </w:pPr>
            <w:r>
              <w:rPr>
                <w:rFonts w:ascii="Arial" w:cs="Arial" w:eastAsia="Arial" w:hAnsi="Arial"/>
                <w:sz w:val="12"/>
                <w:szCs w:val="12"/>
                <w:color w:val="auto"/>
              </w:rPr>
              <w:t>Occupancy of bank premises</w:t>
            </w:r>
          </w:p>
        </w:tc>
        <w:tc>
          <w:tcPr>
            <w:tcW w:w="1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105</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4"/>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Furniture and equipment</w:t>
            </w:r>
          </w:p>
        </w:tc>
        <w:tc>
          <w:tcPr>
            <w:tcW w:w="14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7120" w:type="dxa"/>
            <w:vAlign w:val="bottom"/>
          </w:tcPr>
          <w:p>
            <w:pPr>
              <w:spacing w:after="0"/>
              <w:rPr>
                <w:sz w:val="20"/>
                <w:szCs w:val="20"/>
                <w:color w:val="auto"/>
              </w:rPr>
            </w:pPr>
            <w:r>
              <w:rPr>
                <w:rFonts w:ascii="Arial" w:cs="Arial" w:eastAsia="Arial" w:hAnsi="Arial"/>
                <w:sz w:val="12"/>
                <w:szCs w:val="12"/>
                <w:color w:val="auto"/>
              </w:rPr>
              <w:t>Data processing</w:t>
            </w:r>
          </w:p>
        </w:tc>
        <w:tc>
          <w:tcPr>
            <w:tcW w:w="1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8,668</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370</w:t>
            </w:r>
          </w:p>
        </w:tc>
        <w:tc>
          <w:tcPr>
            <w:tcW w:w="0" w:type="dxa"/>
            <w:vAlign w:val="bottom"/>
          </w:tcPr>
          <w:p>
            <w:pPr>
              <w:spacing w:after="0"/>
              <w:rPr>
                <w:sz w:val="1"/>
                <w:szCs w:val="1"/>
                <w:color w:val="auto"/>
              </w:rPr>
            </w:pPr>
          </w:p>
        </w:tc>
      </w:tr>
      <w:tr>
        <w:trPr>
          <w:trHeight w:val="175"/>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Marketing and customer relations</w:t>
            </w:r>
          </w:p>
        </w:tc>
        <w:tc>
          <w:tcPr>
            <w:tcW w:w="14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7120" w:type="dxa"/>
            <w:vAlign w:val="bottom"/>
          </w:tcPr>
          <w:p>
            <w:pPr>
              <w:spacing w:after="0"/>
              <w:rPr>
                <w:sz w:val="20"/>
                <w:szCs w:val="20"/>
                <w:color w:val="auto"/>
              </w:rPr>
            </w:pPr>
            <w:r>
              <w:rPr>
                <w:rFonts w:ascii="Arial" w:cs="Arial" w:eastAsia="Arial" w:hAnsi="Arial"/>
                <w:sz w:val="12"/>
                <w:szCs w:val="12"/>
                <w:color w:val="auto"/>
              </w:rPr>
              <w:t>Loan collection and servicing</w:t>
            </w:r>
          </w:p>
        </w:tc>
        <w:tc>
          <w:tcPr>
            <w:tcW w:w="1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320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1"/>
        </w:trPr>
        <w:tc>
          <w:tcPr>
            <w:tcW w:w="7120" w:type="dxa"/>
            <w:vAlign w:val="bottom"/>
            <w:shd w:val="clear" w:color="auto" w:fill="CCEEFF"/>
          </w:tcPr>
          <w:p>
            <w:pPr>
              <w:spacing w:after="0"/>
              <w:rPr>
                <w:sz w:val="20"/>
                <w:szCs w:val="20"/>
                <w:color w:val="auto"/>
              </w:rPr>
            </w:pPr>
            <w:r>
              <w:rPr>
                <w:rFonts w:ascii="Arial" w:cs="Arial" w:eastAsia="Arial" w:hAnsi="Arial"/>
                <w:sz w:val="12"/>
                <w:szCs w:val="12"/>
                <w:color w:val="auto"/>
              </w:rPr>
              <w:t>Professional fees and other noninterest expense</w:t>
            </w:r>
          </w:p>
        </w:tc>
        <w:tc>
          <w:tcPr>
            <w:tcW w:w="14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2,438</w:t>
            </w:r>
          </w:p>
        </w:tc>
        <w:tc>
          <w:tcPr>
            <w:tcW w:w="8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586</w:t>
            </w:r>
          </w:p>
        </w:tc>
        <w:tc>
          <w:tcPr>
            <w:tcW w:w="0" w:type="dxa"/>
            <w:vAlign w:val="bottom"/>
          </w:tcPr>
          <w:p>
            <w:pPr>
              <w:spacing w:after="0"/>
              <w:rPr>
                <w:sz w:val="1"/>
                <w:szCs w:val="1"/>
                <w:color w:val="auto"/>
              </w:rPr>
            </w:pPr>
          </w:p>
        </w:tc>
      </w:tr>
      <w:tr>
        <w:trPr>
          <w:trHeight w:val="163"/>
        </w:trPr>
        <w:tc>
          <w:tcPr>
            <w:tcW w:w="7120" w:type="dxa"/>
            <w:vAlign w:val="bottom"/>
          </w:tcPr>
          <w:p>
            <w:pPr>
              <w:ind w:left="80"/>
              <w:spacing w:after="0"/>
              <w:rPr>
                <w:sz w:val="20"/>
                <w:szCs w:val="20"/>
                <w:color w:val="auto"/>
              </w:rPr>
            </w:pPr>
            <w:r>
              <w:rPr>
                <w:rFonts w:ascii="Arial" w:cs="Arial" w:eastAsia="Arial" w:hAnsi="Arial"/>
                <w:sz w:val="12"/>
                <w:szCs w:val="12"/>
                <w:b w:val="1"/>
                <w:bCs w:val="1"/>
                <w:color w:val="auto"/>
              </w:rPr>
              <w:t>Total acquisition-related expenses</w:t>
            </w:r>
          </w:p>
        </w:tc>
        <w:tc>
          <w:tcPr>
            <w:tcW w:w="1420" w:type="dxa"/>
            <w:vAlign w:val="bottom"/>
            <w:tcBorders>
              <w:bottom w:val="single" w:sz="8" w:color="auto"/>
            </w:tcBorders>
          </w:tcPr>
          <w:p>
            <w:pPr>
              <w:jc w:val="right"/>
              <w:ind w:right="1312"/>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15,666</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999</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Interest Income and Net Interest Margin</w:t>
      </w:r>
    </w:p>
    <w:p>
      <w:pPr>
        <w:spacing w:after="0" w:line="150" w:lineRule="exact"/>
        <w:rPr>
          <w:sz w:val="20"/>
          <w:szCs w:val="20"/>
          <w:color w:val="auto"/>
        </w:rPr>
      </w:pPr>
    </w:p>
    <w:p>
      <w:pPr>
        <w:ind w:right="200"/>
        <w:spacing w:after="0" w:line="268" w:lineRule="auto"/>
        <w:rPr>
          <w:sz w:val="20"/>
          <w:szCs w:val="20"/>
          <w:color w:val="auto"/>
        </w:rPr>
      </w:pPr>
      <w:r>
        <w:rPr>
          <w:rFonts w:ascii="Arial" w:cs="Arial" w:eastAsia="Arial" w:hAnsi="Arial"/>
          <w:sz w:val="12"/>
          <w:szCs w:val="12"/>
          <w:color w:val="auto"/>
        </w:rPr>
        <w:t>Net interest income for the first quarter of 2026 was $56.4 million, an increase of 11.6% from $50.5 million for the fourth quarter of 2025. The increase was primarily attributable to higher average interest-earning asset balances following the CNB merger. A $ 0.5 million increase in loan fees and a $0.1 million increase in nonaccrual interest recoveries further contributed to the overall increase. Additionally, acquired loan discount accretion was $1.0 million during the first quarter of 2026 and $0.9 million during the fourth quarter of 2025.</w:t>
      </w:r>
    </w:p>
    <w:p>
      <w:pPr>
        <w:spacing w:after="0" w:line="114" w:lineRule="exact"/>
        <w:rPr>
          <w:sz w:val="20"/>
          <w:szCs w:val="20"/>
          <w:color w:val="auto"/>
        </w:rPr>
      </w:pPr>
    </w:p>
    <w:p>
      <w:pPr>
        <w:ind w:right="260"/>
        <w:spacing w:after="0" w:line="268" w:lineRule="auto"/>
        <w:rPr>
          <w:sz w:val="20"/>
          <w:szCs w:val="20"/>
          <w:color w:val="auto"/>
        </w:rPr>
      </w:pPr>
      <w:r>
        <w:rPr>
          <w:rFonts w:ascii="Arial" w:cs="Arial" w:eastAsia="Arial" w:hAnsi="Arial"/>
          <w:sz w:val="12"/>
          <w:szCs w:val="12"/>
          <w:color w:val="auto"/>
        </w:rPr>
        <w:t>Relative to the first quarter of 2025, net interest income increased 15.8% from $48.7 million. The increase was primarily attributable to higher average interest-earning asset balances following the CNB merger, improved yields on debt securities, and lower funding costs. Partially offsetting these improvements were a decrease in loan yields and a $0.4 million decrease in nonaccrual interest recoveries. Additionally, acquired loan discount accretion was $1.1 million during the first quarter of 2025.</w:t>
      </w:r>
    </w:p>
    <w:p>
      <w:pPr>
        <w:spacing w:after="0" w:line="113" w:lineRule="exact"/>
        <w:rPr>
          <w:sz w:val="20"/>
          <w:szCs w:val="20"/>
          <w:color w:val="auto"/>
        </w:rPr>
      </w:pPr>
    </w:p>
    <w:p>
      <w:pPr>
        <w:ind w:right="120"/>
        <w:spacing w:after="0" w:line="234" w:lineRule="auto"/>
        <w:rPr>
          <w:sz w:val="20"/>
          <w:szCs w:val="20"/>
          <w:color w:val="auto"/>
        </w:rPr>
      </w:pPr>
      <w:r>
        <w:rPr>
          <w:rFonts w:ascii="Arial" w:cs="Arial" w:eastAsia="Arial" w:hAnsi="Arial"/>
          <w:sz w:val="12"/>
          <w:szCs w:val="12"/>
          <w:color w:val="auto"/>
        </w:rPr>
        <w:t>Net interest margin for the first quarter of 2026 was 4.20%, compared to 4.12% for the fourth quarter of 2025, while net interest margin (tax-equivalent basis)</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for the first quarter of 2026 was 4.25%, compared to 4.16% for</w:t>
      </w:r>
    </w:p>
    <w:p>
      <w:pPr>
        <w:sectPr>
          <w:pgSz w:w="11900" w:h="16838" w:orient="portrait"/>
          <w:cols w:equalWidth="0" w:num="1">
            <w:col w:w="11300"/>
          </w:cols>
          <w:pgMar w:left="300" w:top="135" w:right="299" w:bottom="1440" w:gutter="0" w:footer="0" w:header="0"/>
        </w:sectPr>
      </w:pPr>
    </w:p>
    <w:bookmarkStart w:id="5" w:name="page6"/>
    <w:bookmarkEnd w:id="5"/>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3</w:t>
      </w:r>
    </w:p>
    <w:p>
      <w:pPr>
        <w:spacing w:after="0" w:line="200" w:lineRule="exact"/>
        <w:rPr>
          <w:sz w:val="20"/>
          <w:szCs w:val="20"/>
          <w:color w:val="auto"/>
        </w:rPr>
      </w:pPr>
    </w:p>
    <w:p>
      <w:pPr>
        <w:spacing w:after="0" w:line="236" w:lineRule="exact"/>
        <w:rPr>
          <w:sz w:val="20"/>
          <w:szCs w:val="20"/>
          <w:color w:val="auto"/>
        </w:rPr>
      </w:pPr>
    </w:p>
    <w:p>
      <w:pPr>
        <w:jc w:val="both"/>
        <w:ind w:right="40"/>
        <w:spacing w:after="0" w:line="268" w:lineRule="auto"/>
        <w:rPr>
          <w:sz w:val="20"/>
          <w:szCs w:val="20"/>
          <w:color w:val="auto"/>
        </w:rPr>
      </w:pPr>
      <w:r>
        <w:rPr>
          <w:rFonts w:ascii="Arial" w:cs="Arial" w:eastAsia="Arial" w:hAnsi="Arial"/>
          <w:sz w:val="12"/>
          <w:szCs w:val="12"/>
          <w:color w:val="auto"/>
        </w:rPr>
        <w:t>the fourth quarter of 2025. These increases were primarily attributable to higher asset yields and the sale of the vast majority of the CNB securities portfolio, with the proceeds used to pay off higher cost sources of funding. Improvements in loan yields, which increased 6 basis points to 6.28%, and debt securities yields, which increased 20 basis points to 3.01%, were partially offset by higher funding costs, which increased 2 basis points to 1.25%.</w:t>
      </w:r>
    </w:p>
    <w:p>
      <w:pPr>
        <w:spacing w:after="0" w:line="113" w:lineRule="exact"/>
        <w:rPr>
          <w:sz w:val="20"/>
          <w:szCs w:val="20"/>
          <w:color w:val="auto"/>
        </w:rPr>
      </w:pPr>
    </w:p>
    <w:p>
      <w:pPr>
        <w:ind w:right="220"/>
        <w:spacing w:after="0" w:line="234" w:lineRule="auto"/>
        <w:rPr>
          <w:sz w:val="20"/>
          <w:szCs w:val="20"/>
          <w:color w:val="auto"/>
        </w:rPr>
      </w:pPr>
      <w:r>
        <w:rPr>
          <w:rFonts w:ascii="Arial" w:cs="Arial" w:eastAsia="Arial" w:hAnsi="Arial"/>
          <w:sz w:val="12"/>
          <w:szCs w:val="12"/>
          <w:color w:val="auto"/>
        </w:rPr>
        <w:t>Relative to the first quarter of 2025, net interest margin increased 8 basis points from 4.12% and net interest margin (tax-equivalent basis)</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increased 9 basis points from 4.16%. These increases were primarily attributable to improved yields on debt securities and lower funding costs, which were partially offset by a decrease in loan yields.</w:t>
      </w:r>
    </w:p>
    <w:p>
      <w:pPr>
        <w:spacing w:after="0" w:line="1"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w:t>
      </w:r>
    </w:p>
    <w:p>
      <w:pPr>
        <w:spacing w:after="0" w:line="3" w:lineRule="exact"/>
        <w:rPr>
          <w:sz w:val="20"/>
          <w:szCs w:val="20"/>
          <w:color w:val="auto"/>
        </w:rPr>
      </w:pPr>
    </w:p>
    <w:p>
      <w:pPr>
        <w:spacing w:after="0"/>
        <w:tabs>
          <w:tab w:leader="none" w:pos="1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8"/>
          <w:szCs w:val="8"/>
          <w:color w:val="auto"/>
        </w:rPr>
        <w:t>See “Reconciliation of Non-GAAP Financial Measures” below for reconciliation of non-GAAP financial measures to their most closely comparable GAAP financial measures.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Noninterest Income</w:t>
      </w:r>
    </w:p>
    <w:p>
      <w:pPr>
        <w:spacing w:after="0" w:line="150" w:lineRule="exact"/>
        <w:rPr>
          <w:sz w:val="20"/>
          <w:szCs w:val="20"/>
          <w:color w:val="auto"/>
        </w:rPr>
      </w:pPr>
    </w:p>
    <w:p>
      <w:pPr>
        <w:ind w:right="100"/>
        <w:spacing w:after="0" w:line="262" w:lineRule="auto"/>
        <w:rPr>
          <w:sz w:val="20"/>
          <w:szCs w:val="20"/>
          <w:color w:val="auto"/>
        </w:rPr>
      </w:pPr>
      <w:r>
        <w:rPr>
          <w:rFonts w:ascii="Arial" w:cs="Arial" w:eastAsia="Arial" w:hAnsi="Arial"/>
          <w:sz w:val="12"/>
          <w:szCs w:val="12"/>
          <w:color w:val="auto"/>
        </w:rPr>
        <w:t>Noninterest income for the first quarter of 2026 was $10.9 million, an increase from $9.9 million for the fourth quarter of 2025. A $0.4 million increase in wealth management fees, primarily driven by an increase in assets under management following the CNB merger, and the absence of $0.2 million in gains (losses) on foreclosed assets contributed to this improvement. Partially offsetting these improvements was a $ 0.2 million impairment on closed branch premises recognized during the first quarter of 2026. Additionally, a $0.2 million positive MSR fair value adjustment included in the first quarter of 2026 results compared to a $0.3 million negative MSR fair value adjustment included in the fourth quarter of 2025 results.</w:t>
      </w:r>
    </w:p>
    <w:p>
      <w:pPr>
        <w:spacing w:after="0" w:line="117" w:lineRule="exact"/>
        <w:rPr>
          <w:sz w:val="20"/>
          <w:szCs w:val="20"/>
          <w:color w:val="auto"/>
        </w:rPr>
      </w:pPr>
    </w:p>
    <w:p>
      <w:pPr>
        <w:ind w:right="140"/>
        <w:spacing w:after="0" w:line="268" w:lineRule="auto"/>
        <w:rPr>
          <w:sz w:val="20"/>
          <w:szCs w:val="20"/>
          <w:color w:val="auto"/>
        </w:rPr>
      </w:pPr>
      <w:r>
        <w:rPr>
          <w:rFonts w:ascii="Arial" w:cs="Arial" w:eastAsia="Arial" w:hAnsi="Arial"/>
          <w:sz w:val="12"/>
          <w:szCs w:val="12"/>
          <w:color w:val="auto"/>
        </w:rPr>
        <w:t>Relative to the first quarter of 2025, noninterest income increased 17.6% from $9.3 million. The increase was primarily attributable to a $0.9 million increase in wealth management fees, primarily driven by higher values of assets under management and the additional assets under management following the CNB merger, as well as changes in the MSR fair value adjustment, with a $0.2 million positive MSR fair value adjustment included in the first quarter of 2026 results compared to a $0.3 million negative MSR fair value adjustment included in the first quarter of 2025 results.</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Noninterest Expense</w:t>
      </w:r>
    </w:p>
    <w:p>
      <w:pPr>
        <w:spacing w:after="0" w:line="150"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Noninterest expense for the first quarter of 2026 was $52.4 million, a 58.6% increase from the fourth quarter of 2025. The increase was primarily attributable to $15.7 million of nonrecurring acquisition-related expenses included in the first quarter 2026 results. Excluding acquisition-related expenses, the $4.7 million increase in noninterest expense was primarily attributable to higher base costs following the CNB merger, including a $3.2 million increase in employee salaries and benefits expense, which were also impacted by annual merit increases and higher medical benefits costs, and a $0.9 million increase in other noninterest expense.</w:t>
      </w:r>
    </w:p>
    <w:p>
      <w:pPr>
        <w:spacing w:after="0" w:line="117" w:lineRule="exact"/>
        <w:rPr>
          <w:sz w:val="20"/>
          <w:szCs w:val="20"/>
          <w:color w:val="auto"/>
        </w:rPr>
      </w:pPr>
    </w:p>
    <w:p>
      <w:pPr>
        <w:ind w:right="20"/>
        <w:spacing w:after="0" w:line="268" w:lineRule="auto"/>
        <w:rPr>
          <w:sz w:val="20"/>
          <w:szCs w:val="20"/>
          <w:color w:val="auto"/>
        </w:rPr>
      </w:pPr>
      <w:r>
        <w:rPr>
          <w:rFonts w:ascii="Arial" w:cs="Arial" w:eastAsia="Arial" w:hAnsi="Arial"/>
          <w:sz w:val="12"/>
          <w:szCs w:val="12"/>
          <w:color w:val="auto"/>
        </w:rPr>
        <w:t>Relative to the first quarter of 2025, noninterest expense increased 64.2% from $31.9 million. Excluding acquisition-related expenses, the $4.8 million increase in noninterest expense was primarily attributable to higher base costs following the CNB merger, including a $2.6 million increase in employee salaries and benefits expense, which was also a result of merit increases and higher medical benefits costs, a $1.1 million increase in other noninterest expense, and a $0.4 million increase in data processing expense.</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Loan Portfolio</w:t>
      </w:r>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Total loans outstanding, before allowance for credit losses, were $4.69 billion at March 31, 2026, compared with $3.46 billion at December 31, 2025, and $ 3.46 billion at March 31, 2025. The $1.23 billion increase from December 31, 2025 included $1.30 billion of loans held for investment acquired in the CNB merger. Excluding this impact, the $65.6 million decrease from December 31, 2025 was primarily attributable to several larger pay offs due to refinancings across the multi-family, commercial real estate – non-owner occupied, and the municipal, consumer, and other segments, as well as an $8.0 million reduction on two lines of credit that funded shortly before and paid off after December 31, 2025. These headwinds were partially offset by $26.3 million in seasonal draws on grain elevator lines, as well as new originations within the construction and land development and commercial and industrial segments.</w:t>
      </w:r>
    </w:p>
    <w:p>
      <w:pPr>
        <w:sectPr>
          <w:pgSz w:w="11900" w:h="16838" w:orient="portrait"/>
          <w:cols w:equalWidth="0" w:num="1">
            <w:col w:w="11280"/>
          </w:cols>
          <w:pgMar w:left="300" w:top="135" w:right="319" w:bottom="1440" w:gutter="0" w:footer="0" w:header="0"/>
        </w:sectPr>
      </w:pPr>
    </w:p>
    <w:bookmarkStart w:id="6" w:name="page7"/>
    <w:bookmarkEnd w:id="6"/>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4</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Deposits</w:t>
      </w:r>
    </w:p>
    <w:p>
      <w:pPr>
        <w:spacing w:after="0" w:line="150" w:lineRule="exact"/>
        <w:rPr>
          <w:sz w:val="20"/>
          <w:szCs w:val="20"/>
          <w:color w:val="auto"/>
        </w:rPr>
      </w:pPr>
    </w:p>
    <w:p>
      <w:pPr>
        <w:ind w:right="320"/>
        <w:spacing w:after="0" w:line="268" w:lineRule="auto"/>
        <w:rPr>
          <w:sz w:val="20"/>
          <w:szCs w:val="20"/>
          <w:color w:val="auto"/>
        </w:rPr>
      </w:pPr>
      <w:r>
        <w:rPr>
          <w:rFonts w:ascii="Arial" w:cs="Arial" w:eastAsia="Arial" w:hAnsi="Arial"/>
          <w:sz w:val="12"/>
          <w:szCs w:val="12"/>
          <w:color w:val="auto"/>
        </w:rPr>
        <w:t>Total deposits were $5.80 billion at March 31, 2026, compared with $ 4.36 billion at December 31, 2025, and $4.38 billion at March 31, 2025. The $ 1.44 billion increase from December 31, 2025 included $1.52 billion of deposits assumed in the CNB merger. Excluding the impact of the CNB merger, the $ 72.7 million decrease from December 31, 2025 was primarily attributable to an $88.9 million decrease in wealth management customer money market deposits, of which $85.0 million was moved off-balance sheet during the first quarter due to strong levels of on-balance sheet liquidity.</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Asset Quality</w:t>
      </w:r>
    </w:p>
    <w:p>
      <w:pPr>
        <w:spacing w:after="0" w:line="150" w:lineRule="exact"/>
        <w:rPr>
          <w:sz w:val="20"/>
          <w:szCs w:val="20"/>
          <w:color w:val="auto"/>
        </w:rPr>
      </w:pPr>
    </w:p>
    <w:p>
      <w:pPr>
        <w:ind w:right="240"/>
        <w:spacing w:after="0" w:line="268" w:lineRule="auto"/>
        <w:rPr>
          <w:sz w:val="20"/>
          <w:szCs w:val="20"/>
          <w:color w:val="auto"/>
        </w:rPr>
      </w:pPr>
      <w:r>
        <w:rPr>
          <w:rFonts w:ascii="Arial" w:cs="Arial" w:eastAsia="Arial" w:hAnsi="Arial"/>
          <w:sz w:val="12"/>
          <w:szCs w:val="12"/>
          <w:color w:val="auto"/>
        </w:rPr>
        <w:t>Nonperforming assets totaled $14.4 million, or 0.21% of total assets, at March 31, 2026, compared with $8.7 million, or 0.17% of total assets, at December 31, 2025, and $5.6 million, or 0.11% of total assets, at March 31, 2025. The $5.7 million increase in nonperforming assets from December 31, 2025 was primarily attributable to the CNB merger, which added $6.1 million in nonperforming assets, primarily in the construction and land development segment. Additionally, of the $13.2 million of nonperforming loans held as of March 31, 2026, $2.3 million were either wholly or partially guaranteed by the U.S. government.</w:t>
      </w:r>
    </w:p>
    <w:p>
      <w:pPr>
        <w:spacing w:after="0" w:line="114" w:lineRule="exact"/>
        <w:rPr>
          <w:sz w:val="20"/>
          <w:szCs w:val="20"/>
          <w:color w:val="auto"/>
        </w:rPr>
      </w:pPr>
    </w:p>
    <w:p>
      <w:pPr>
        <w:ind w:right="440"/>
        <w:spacing w:after="0" w:line="286" w:lineRule="auto"/>
        <w:rPr>
          <w:sz w:val="20"/>
          <w:szCs w:val="20"/>
          <w:color w:val="auto"/>
        </w:rPr>
      </w:pPr>
      <w:r>
        <w:rPr>
          <w:rFonts w:ascii="Arial" w:cs="Arial" w:eastAsia="Arial" w:hAnsi="Arial"/>
          <w:sz w:val="12"/>
          <w:szCs w:val="12"/>
          <w:color w:val="auto"/>
        </w:rPr>
        <w:t>The Company recorded a negative provision for credit losses of $0.2 million for the first quarter of 2026. The negative provision for credit losses primarily reflects a $0.3 million decrease in specific reserves, partially offset by changes within the loan portfolio.</w:t>
      </w:r>
    </w:p>
    <w:p>
      <w:pPr>
        <w:spacing w:after="0" w:line="103" w:lineRule="exact"/>
        <w:rPr>
          <w:sz w:val="20"/>
          <w:szCs w:val="20"/>
          <w:color w:val="auto"/>
        </w:rPr>
      </w:pPr>
    </w:p>
    <w:p>
      <w:pPr>
        <w:ind w:right="360"/>
        <w:spacing w:after="0" w:line="286" w:lineRule="auto"/>
        <w:rPr>
          <w:sz w:val="20"/>
          <w:szCs w:val="20"/>
          <w:color w:val="auto"/>
        </w:rPr>
      </w:pPr>
      <w:r>
        <w:rPr>
          <w:rFonts w:ascii="Arial" w:cs="Arial" w:eastAsia="Arial" w:hAnsi="Arial"/>
          <w:sz w:val="12"/>
          <w:szCs w:val="12"/>
          <w:color w:val="auto"/>
        </w:rPr>
        <w:t>The Company had net charge-offs of $0.8 million, or 0.08% of average loans on an annualized basis, for the first quarter of 2026, compared to net charge-offs of $0.8 million, or 0.10% of average loans on an annualized basis, for the fourth quarter of 2025, and net charge-offs of $0.4 million, or 0.05% of average loans on an annualized basis, for the first quarter of 2025.</w:t>
      </w:r>
    </w:p>
    <w:p>
      <w:pPr>
        <w:spacing w:after="0" w:line="103" w:lineRule="exact"/>
        <w:rPr>
          <w:sz w:val="20"/>
          <w:szCs w:val="20"/>
          <w:color w:val="auto"/>
        </w:rPr>
      </w:pPr>
    </w:p>
    <w:p>
      <w:pPr>
        <w:ind w:right="180"/>
        <w:spacing w:after="0" w:line="286" w:lineRule="auto"/>
        <w:rPr>
          <w:sz w:val="20"/>
          <w:szCs w:val="20"/>
          <w:color w:val="auto"/>
        </w:rPr>
      </w:pPr>
      <w:r>
        <w:rPr>
          <w:rFonts w:ascii="Arial" w:cs="Arial" w:eastAsia="Arial" w:hAnsi="Arial"/>
          <w:sz w:val="12"/>
          <w:szCs w:val="12"/>
          <w:color w:val="auto"/>
        </w:rPr>
        <w:t>The Company’s allowance for credit losses was 1.29% of total loans and 457% of nonperforming loans at March 31, 2026, compared with 1.21% of total loans and 552% of nonperforming loans at December 31, 2025. In addition, the allowance for credit losses on unfunded lending-related commitments totaled $5.9 million as of March 31, 2026, compared with $4.1 million as of December 31, 2025.</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Capital</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As of March 31, 2026, the Company exceeded all regulatory capital requirements under Basel III as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7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jc w:val="center"/>
              <w:spacing w:after="0"/>
              <w:rPr>
                <w:sz w:val="20"/>
                <w:szCs w:val="20"/>
                <w:color w:val="auto"/>
              </w:rPr>
            </w:pPr>
            <w:r>
              <w:rPr>
                <w:rFonts w:ascii="Arial" w:cs="Arial" w:eastAsia="Arial" w:hAnsi="Arial"/>
                <w:sz w:val="10"/>
                <w:szCs w:val="10"/>
                <w:b w:val="1"/>
                <w:bCs w:val="1"/>
                <w:color w:val="auto"/>
                <w:w w:val="95"/>
              </w:rPr>
              <w:t>For Capital</w:t>
            </w:r>
          </w:p>
        </w:tc>
        <w:tc>
          <w:tcPr>
            <w:tcW w:w="0" w:type="dxa"/>
            <w:vAlign w:val="bottom"/>
          </w:tcPr>
          <w:p>
            <w:pPr>
              <w:spacing w:after="0"/>
              <w:rPr>
                <w:sz w:val="1"/>
                <w:szCs w:val="1"/>
                <w:color w:val="auto"/>
              </w:rPr>
            </w:pPr>
          </w:p>
        </w:tc>
      </w:tr>
      <w:tr>
        <w:trPr>
          <w:trHeight w:val="99"/>
        </w:trPr>
        <w:tc>
          <w:tcPr>
            <w:tcW w:w="67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5"/>
              </w:rPr>
              <w:t>Adequacy Purposes</w:t>
            </w:r>
          </w:p>
        </w:tc>
        <w:tc>
          <w:tcPr>
            <w:tcW w:w="0" w:type="dxa"/>
            <w:vAlign w:val="bottom"/>
          </w:tcPr>
          <w:p>
            <w:pPr>
              <w:spacing w:after="0"/>
              <w:rPr>
                <w:sz w:val="1"/>
                <w:szCs w:val="1"/>
                <w:color w:val="auto"/>
              </w:rPr>
            </w:pPr>
          </w:p>
        </w:tc>
      </w:tr>
      <w:tr>
        <w:trPr>
          <w:trHeight w:val="99"/>
        </w:trPr>
        <w:tc>
          <w:tcPr>
            <w:tcW w:w="6720" w:type="dxa"/>
            <w:vAlign w:val="bottom"/>
          </w:tcPr>
          <w:p>
            <w:pPr>
              <w:spacing w:after="0"/>
              <w:rPr>
                <w:sz w:val="8"/>
                <w:szCs w:val="8"/>
                <w:color w:val="auto"/>
              </w:rPr>
            </w:pPr>
          </w:p>
        </w:tc>
        <w:tc>
          <w:tcPr>
            <w:tcW w:w="1620" w:type="dxa"/>
            <w:vAlign w:val="bottom"/>
            <w:vMerge w:val="restart"/>
          </w:tcPr>
          <w:p>
            <w:pPr>
              <w:ind w:left="780"/>
              <w:spacing w:after="0"/>
              <w:rPr>
                <w:sz w:val="20"/>
                <w:szCs w:val="20"/>
                <w:color w:val="auto"/>
              </w:rPr>
            </w:pPr>
            <w:r>
              <w:rPr>
                <w:rFonts w:ascii="Arial" w:cs="Arial" w:eastAsia="Arial" w:hAnsi="Arial"/>
                <w:sz w:val="10"/>
                <w:szCs w:val="10"/>
                <w:b w:val="1"/>
                <w:bCs w:val="1"/>
                <w:color w:val="auto"/>
              </w:rPr>
              <w:t>March 31, 2026</w:t>
            </w: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jc w:val="center"/>
              <w:spacing w:after="0" w:line="99" w:lineRule="exact"/>
              <w:rPr>
                <w:sz w:val="20"/>
                <w:szCs w:val="20"/>
                <w:color w:val="auto"/>
              </w:rPr>
            </w:pPr>
            <w:r>
              <w:rPr>
                <w:rFonts w:ascii="Arial" w:cs="Arial" w:eastAsia="Arial" w:hAnsi="Arial"/>
                <w:sz w:val="10"/>
                <w:szCs w:val="10"/>
                <w:b w:val="1"/>
                <w:bCs w:val="1"/>
                <w:color w:val="auto"/>
                <w:w w:val="93"/>
              </w:rPr>
              <w:t>With Capital</w:t>
            </w:r>
          </w:p>
        </w:tc>
        <w:tc>
          <w:tcPr>
            <w:tcW w:w="0" w:type="dxa"/>
            <w:vAlign w:val="bottom"/>
          </w:tcPr>
          <w:p>
            <w:pPr>
              <w:spacing w:after="0"/>
              <w:rPr>
                <w:sz w:val="1"/>
                <w:szCs w:val="1"/>
                <w:color w:val="auto"/>
              </w:rPr>
            </w:pPr>
          </w:p>
        </w:tc>
      </w:tr>
      <w:tr>
        <w:trPr>
          <w:trHeight w:val="132"/>
        </w:trPr>
        <w:tc>
          <w:tcPr>
            <w:tcW w:w="6720" w:type="dxa"/>
            <w:vAlign w:val="bottom"/>
          </w:tcPr>
          <w:p>
            <w:pPr>
              <w:spacing w:after="0"/>
              <w:rPr>
                <w:sz w:val="11"/>
                <w:szCs w:val="11"/>
                <w:color w:val="auto"/>
              </w:rPr>
            </w:pPr>
          </w:p>
        </w:tc>
        <w:tc>
          <w:tcPr>
            <w:tcW w:w="1620" w:type="dxa"/>
            <w:vAlign w:val="bottom"/>
            <w:tcBorders>
              <w:bottom w:val="single" w:sz="8" w:color="auto"/>
            </w:tcBorders>
            <w:vMerge w:val="continue"/>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Conservation Buffer</w:t>
            </w:r>
          </w:p>
        </w:tc>
        <w:tc>
          <w:tcPr>
            <w:tcW w:w="0" w:type="dxa"/>
            <w:vAlign w:val="bottom"/>
          </w:tcPr>
          <w:p>
            <w:pPr>
              <w:spacing w:after="0"/>
              <w:rPr>
                <w:sz w:val="1"/>
                <w:szCs w:val="1"/>
                <w:color w:val="auto"/>
              </w:rPr>
            </w:pPr>
          </w:p>
        </w:tc>
      </w:tr>
      <w:tr>
        <w:trPr>
          <w:trHeight w:val="179"/>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capital to risk-weighted assets</w:t>
            </w:r>
          </w:p>
        </w:tc>
        <w:tc>
          <w:tcPr>
            <w:tcW w:w="620" w:type="dxa"/>
            <w:vAlign w:val="bottom"/>
            <w:shd w:val="clear" w:color="auto" w:fill="CCEEFF"/>
          </w:tcPr>
          <w:p>
            <w:pPr>
              <w:ind w:left="160"/>
              <w:spacing w:after="0"/>
              <w:rPr>
                <w:sz w:val="20"/>
                <w:szCs w:val="20"/>
                <w:color w:val="auto"/>
              </w:rPr>
            </w:pPr>
            <w:r>
              <w:rPr>
                <w:rFonts w:ascii="Arial" w:cs="Arial" w:eastAsia="Arial" w:hAnsi="Arial"/>
                <w:sz w:val="12"/>
                <w:szCs w:val="12"/>
                <w:color w:val="auto"/>
                <w:w w:val="99"/>
              </w:rPr>
              <w:t>15.99 %</w:t>
            </w:r>
          </w:p>
        </w:tc>
        <w:tc>
          <w:tcPr>
            <w:tcW w:w="80" w:type="dxa"/>
            <w:vAlign w:val="bottom"/>
            <w:shd w:val="clear" w:color="auto" w:fill="CCEEFF"/>
          </w:tcPr>
          <w:p>
            <w:pPr>
              <w:spacing w:after="0"/>
              <w:rPr>
                <w:sz w:val="15"/>
                <w:szCs w:val="15"/>
                <w:color w:val="auto"/>
              </w:rPr>
            </w:pPr>
          </w:p>
        </w:tc>
        <w:tc>
          <w:tcPr>
            <w:tcW w:w="2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10.50 %</w:t>
            </w:r>
          </w:p>
        </w:tc>
        <w:tc>
          <w:tcPr>
            <w:tcW w:w="0" w:type="dxa"/>
            <w:vAlign w:val="bottom"/>
          </w:tcPr>
          <w:p>
            <w:pPr>
              <w:spacing w:after="0"/>
              <w:rPr>
                <w:sz w:val="1"/>
                <w:szCs w:val="1"/>
                <w:color w:val="auto"/>
              </w:rPr>
            </w:pPr>
          </w:p>
        </w:tc>
      </w:tr>
      <w:tr>
        <w:trPr>
          <w:trHeight w:val="171"/>
        </w:trPr>
        <w:tc>
          <w:tcPr>
            <w:tcW w:w="8340" w:type="dxa"/>
            <w:vAlign w:val="bottom"/>
            <w:gridSpan w:val="2"/>
          </w:tcPr>
          <w:p>
            <w:pPr>
              <w:ind w:left="20"/>
              <w:spacing w:after="0"/>
              <w:rPr>
                <w:sz w:val="20"/>
                <w:szCs w:val="20"/>
                <w:color w:val="auto"/>
              </w:rPr>
            </w:pPr>
            <w:r>
              <w:rPr>
                <w:rFonts w:ascii="Arial" w:cs="Arial" w:eastAsia="Arial" w:hAnsi="Arial"/>
                <w:sz w:val="12"/>
                <w:szCs w:val="12"/>
                <w:color w:val="auto"/>
              </w:rPr>
              <w:t>Tier 1 capital to risk-weighted assets</w:t>
            </w:r>
          </w:p>
        </w:tc>
        <w:tc>
          <w:tcPr>
            <w:tcW w:w="620" w:type="dxa"/>
            <w:vAlign w:val="bottom"/>
          </w:tcPr>
          <w:p>
            <w:pPr>
              <w:ind w:left="160"/>
              <w:spacing w:after="0"/>
              <w:rPr>
                <w:sz w:val="20"/>
                <w:szCs w:val="20"/>
                <w:color w:val="auto"/>
              </w:rPr>
            </w:pPr>
            <w:r>
              <w:rPr>
                <w:rFonts w:ascii="Arial" w:cs="Arial" w:eastAsia="Arial" w:hAnsi="Arial"/>
                <w:sz w:val="12"/>
                <w:szCs w:val="12"/>
                <w:color w:val="auto"/>
              </w:rPr>
              <w:t>13.38</w:t>
            </w:r>
          </w:p>
        </w:tc>
        <w:tc>
          <w:tcPr>
            <w:tcW w:w="80" w:type="dxa"/>
            <w:vAlign w:val="bottom"/>
          </w:tcPr>
          <w:p>
            <w:pPr>
              <w:spacing w:after="0"/>
              <w:rPr>
                <w:sz w:val="14"/>
                <w:szCs w:val="14"/>
                <w:color w:val="auto"/>
              </w:rPr>
            </w:pPr>
          </w:p>
        </w:tc>
        <w:tc>
          <w:tcPr>
            <w:tcW w:w="2260" w:type="dxa"/>
            <w:vAlign w:val="bottom"/>
          </w:tcPr>
          <w:p>
            <w:pPr>
              <w:jc w:val="right"/>
              <w:ind w:right="106"/>
              <w:spacing w:after="0"/>
              <w:rPr>
                <w:sz w:val="20"/>
                <w:szCs w:val="20"/>
                <w:color w:val="auto"/>
              </w:rPr>
            </w:pPr>
            <w:r>
              <w:rPr>
                <w:rFonts w:ascii="Arial" w:cs="Arial" w:eastAsia="Arial" w:hAnsi="Arial"/>
                <w:sz w:val="12"/>
                <w:szCs w:val="12"/>
                <w:color w:val="auto"/>
              </w:rPr>
              <w:t>8.50</w:t>
            </w:r>
          </w:p>
        </w:tc>
        <w:tc>
          <w:tcPr>
            <w:tcW w:w="0" w:type="dxa"/>
            <w:vAlign w:val="bottom"/>
          </w:tcPr>
          <w:p>
            <w:pPr>
              <w:spacing w:after="0"/>
              <w:rPr>
                <w:sz w:val="1"/>
                <w:szCs w:val="1"/>
                <w:color w:val="auto"/>
              </w:rPr>
            </w:pPr>
          </w:p>
        </w:tc>
      </w:tr>
      <w:tr>
        <w:trPr>
          <w:trHeight w:val="171"/>
        </w:trPr>
        <w:tc>
          <w:tcPr>
            <w:tcW w:w="834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Common equity tier 1 capital ratio</w:t>
            </w:r>
          </w:p>
        </w:tc>
        <w:tc>
          <w:tcPr>
            <w:tcW w:w="620" w:type="dxa"/>
            <w:vAlign w:val="bottom"/>
            <w:shd w:val="clear" w:color="auto" w:fill="CCEEFF"/>
          </w:tcPr>
          <w:p>
            <w:pPr>
              <w:ind w:left="160"/>
              <w:spacing w:after="0"/>
              <w:rPr>
                <w:sz w:val="20"/>
                <w:szCs w:val="20"/>
                <w:color w:val="auto"/>
              </w:rPr>
            </w:pPr>
            <w:r>
              <w:rPr>
                <w:rFonts w:ascii="Arial" w:cs="Arial" w:eastAsia="Arial" w:hAnsi="Arial"/>
                <w:sz w:val="12"/>
                <w:szCs w:val="12"/>
                <w:color w:val="auto"/>
              </w:rPr>
              <w:t>12.42</w:t>
            </w:r>
          </w:p>
        </w:tc>
        <w:tc>
          <w:tcPr>
            <w:tcW w:w="80" w:type="dxa"/>
            <w:vAlign w:val="bottom"/>
            <w:shd w:val="clear" w:color="auto" w:fill="CCEEFF"/>
          </w:tcPr>
          <w:p>
            <w:pPr>
              <w:spacing w:after="0"/>
              <w:rPr>
                <w:sz w:val="14"/>
                <w:szCs w:val="14"/>
                <w:color w:val="auto"/>
              </w:rPr>
            </w:pPr>
          </w:p>
        </w:tc>
        <w:tc>
          <w:tcPr>
            <w:tcW w:w="2260" w:type="dxa"/>
            <w:vAlign w:val="bottom"/>
            <w:shd w:val="clear" w:color="auto" w:fill="CCEEFF"/>
          </w:tcPr>
          <w:p>
            <w:pPr>
              <w:jc w:val="right"/>
              <w:ind w:right="106"/>
              <w:spacing w:after="0"/>
              <w:rPr>
                <w:sz w:val="20"/>
                <w:szCs w:val="20"/>
                <w:color w:val="auto"/>
              </w:rPr>
            </w:pPr>
            <w:r>
              <w:rPr>
                <w:rFonts w:ascii="Arial" w:cs="Arial" w:eastAsia="Arial" w:hAnsi="Arial"/>
                <w:sz w:val="12"/>
                <w:szCs w:val="12"/>
                <w:color w:val="auto"/>
              </w:rPr>
              <w:t>7.00</w:t>
            </w:r>
          </w:p>
        </w:tc>
        <w:tc>
          <w:tcPr>
            <w:tcW w:w="0" w:type="dxa"/>
            <w:vAlign w:val="bottom"/>
          </w:tcPr>
          <w:p>
            <w:pPr>
              <w:spacing w:after="0"/>
              <w:rPr>
                <w:sz w:val="1"/>
                <w:szCs w:val="1"/>
                <w:color w:val="auto"/>
              </w:rPr>
            </w:pPr>
          </w:p>
        </w:tc>
      </w:tr>
      <w:tr>
        <w:trPr>
          <w:trHeight w:val="173"/>
        </w:trPr>
        <w:tc>
          <w:tcPr>
            <w:tcW w:w="8340" w:type="dxa"/>
            <w:vAlign w:val="bottom"/>
            <w:gridSpan w:val="2"/>
          </w:tcPr>
          <w:p>
            <w:pPr>
              <w:ind w:left="20"/>
              <w:spacing w:after="0"/>
              <w:rPr>
                <w:sz w:val="20"/>
                <w:szCs w:val="20"/>
                <w:color w:val="auto"/>
              </w:rPr>
            </w:pPr>
            <w:r>
              <w:rPr>
                <w:rFonts w:ascii="Arial" w:cs="Arial" w:eastAsia="Arial" w:hAnsi="Arial"/>
                <w:sz w:val="12"/>
                <w:szCs w:val="12"/>
                <w:color w:val="auto"/>
              </w:rPr>
              <w:t>Tier 1 leverage ratio</w:t>
            </w:r>
          </w:p>
        </w:tc>
        <w:tc>
          <w:tcPr>
            <w:tcW w:w="620" w:type="dxa"/>
            <w:vAlign w:val="bottom"/>
          </w:tcPr>
          <w:p>
            <w:pPr>
              <w:ind w:left="160"/>
              <w:spacing w:after="0"/>
              <w:rPr>
                <w:sz w:val="20"/>
                <w:szCs w:val="20"/>
                <w:color w:val="auto"/>
              </w:rPr>
            </w:pPr>
            <w:r>
              <w:rPr>
                <w:rFonts w:ascii="Arial" w:cs="Arial" w:eastAsia="Arial" w:hAnsi="Arial"/>
                <w:sz w:val="12"/>
                <w:szCs w:val="12"/>
                <w:color w:val="auto"/>
              </w:rPr>
              <w:t>12.63</w:t>
            </w:r>
          </w:p>
        </w:tc>
        <w:tc>
          <w:tcPr>
            <w:tcW w:w="80" w:type="dxa"/>
            <w:vAlign w:val="bottom"/>
          </w:tcPr>
          <w:p>
            <w:pPr>
              <w:spacing w:after="0"/>
              <w:rPr>
                <w:sz w:val="15"/>
                <w:szCs w:val="15"/>
                <w:color w:val="auto"/>
              </w:rPr>
            </w:pPr>
          </w:p>
        </w:tc>
        <w:tc>
          <w:tcPr>
            <w:tcW w:w="2260" w:type="dxa"/>
            <w:vAlign w:val="bottom"/>
          </w:tcPr>
          <w:p>
            <w:pPr>
              <w:jc w:val="right"/>
              <w:ind w:right="106"/>
              <w:spacing w:after="0"/>
              <w:rPr>
                <w:sz w:val="20"/>
                <w:szCs w:val="20"/>
                <w:color w:val="auto"/>
              </w:rPr>
            </w:pPr>
            <w:r>
              <w:rPr>
                <w:rFonts w:ascii="Arial" w:cs="Arial" w:eastAsia="Arial" w:hAnsi="Arial"/>
                <w:sz w:val="12"/>
                <w:szCs w:val="12"/>
                <w:color w:val="auto"/>
              </w:rPr>
              <w:t>4.00</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right="60"/>
        <w:spacing w:after="0" w:line="234" w:lineRule="auto"/>
        <w:rPr>
          <w:sz w:val="20"/>
          <w:szCs w:val="20"/>
          <w:color w:val="auto"/>
        </w:rPr>
      </w:pPr>
      <w:r>
        <w:rPr>
          <w:rFonts w:ascii="Arial" w:cs="Arial" w:eastAsia="Arial" w:hAnsi="Arial"/>
          <w:sz w:val="12"/>
          <w:szCs w:val="12"/>
          <w:color w:val="auto"/>
        </w:rPr>
        <w:t>The ratio of tangible common equity to tangible assets</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decreased to 9.31% as of March 31, 2026, from 10.82% as of December 31, 2025, and tangible book value per share</w:t>
      </w:r>
      <w:r>
        <w:rPr>
          <w:rFonts w:ascii="Arial" w:cs="Arial" w:eastAsia="Arial" w:hAnsi="Arial"/>
          <w:sz w:val="15"/>
          <w:szCs w:val="15"/>
          <w:color w:val="auto"/>
          <w:vertAlign w:val="superscript"/>
        </w:rPr>
        <w:t>(1)</w:t>
      </w:r>
      <w:r>
        <w:rPr>
          <w:rFonts w:ascii="Arial" w:cs="Arial" w:eastAsia="Arial" w:hAnsi="Arial"/>
          <w:sz w:val="12"/>
          <w:szCs w:val="12"/>
          <w:color w:val="auto"/>
        </w:rPr>
        <w:t xml:space="preserve"> decreased by $0.19 to $17.01 as of March 31, 2026, when compared to December 31, 2025.</w:t>
      </w:r>
    </w:p>
    <w:p>
      <w:pPr>
        <w:spacing w:after="0" w:line="130" w:lineRule="exact"/>
        <w:rPr>
          <w:sz w:val="20"/>
          <w:szCs w:val="20"/>
          <w:color w:val="auto"/>
        </w:rPr>
      </w:pPr>
    </w:p>
    <w:p>
      <w:pPr>
        <w:jc w:val="both"/>
        <w:ind w:right="100"/>
        <w:spacing w:after="0" w:line="258" w:lineRule="auto"/>
        <w:rPr>
          <w:sz w:val="20"/>
          <w:szCs w:val="20"/>
          <w:color w:val="auto"/>
        </w:rPr>
      </w:pPr>
      <w:r>
        <w:rPr>
          <w:rFonts w:ascii="Arial" w:cs="Arial" w:eastAsia="Arial" w:hAnsi="Arial"/>
          <w:sz w:val="12"/>
          <w:szCs w:val="12"/>
          <w:color w:val="auto"/>
        </w:rPr>
        <w:t>During the first quarter of 2026, the Company repurchased 602,855 shares of its common stock at a weighted average price of $ 25.84 under its stock repurchase program. The Company’s Board of Directors has authorized the repurchase of up to $30.0 million of HBT Financial common stock under its stock repurchase program, which is in effect until January 1, 2027. As of March 31, 2026, the Company had $14.4 million remaining under the stock repurchase program.</w:t>
      </w:r>
    </w:p>
    <w:p>
      <w:pPr>
        <w:spacing w:after="0" w:line="231" w:lineRule="auto"/>
        <w:rPr>
          <w:sz w:val="20"/>
          <w:szCs w:val="20"/>
          <w:color w:val="auto"/>
        </w:rPr>
      </w:pPr>
      <w:r>
        <w:rPr>
          <w:rFonts w:ascii="Arial" w:cs="Arial" w:eastAsia="Arial" w:hAnsi="Arial"/>
          <w:sz w:val="10"/>
          <w:szCs w:val="10"/>
          <w:color w:val="auto"/>
        </w:rPr>
        <w:t>____________________________________</w:t>
      </w:r>
    </w:p>
    <w:p>
      <w:pPr>
        <w:spacing w:after="0"/>
        <w:tabs>
          <w:tab w:leader="none" w:pos="1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8"/>
          <w:szCs w:val="8"/>
          <w:color w:val="auto"/>
        </w:rPr>
        <w:t>See “Reconciliation of Non-GAAP Financial Measures” below for reconciliation of non-GAAP financial measures to their most closely comparable GAAP financial measures.</w:t>
      </w:r>
    </w:p>
    <w:p>
      <w:pPr>
        <w:sectPr>
          <w:pgSz w:w="11900" w:h="16838" w:orient="portrait"/>
          <w:cols w:equalWidth="0" w:num="1">
            <w:col w:w="11300"/>
          </w:cols>
          <w:pgMar w:left="300" w:top="135" w:right="299" w:bottom="1440" w:gutter="0" w:footer="0" w:header="0"/>
        </w:sectPr>
      </w:pPr>
    </w:p>
    <w:bookmarkStart w:id="7" w:name="page8"/>
    <w:bookmarkEnd w:id="7"/>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5</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Subordinated Note Issuance</w:t>
      </w:r>
    </w:p>
    <w:p>
      <w:pPr>
        <w:spacing w:after="0" w:line="150" w:lineRule="exact"/>
        <w:rPr>
          <w:sz w:val="20"/>
          <w:szCs w:val="20"/>
          <w:color w:val="auto"/>
        </w:rPr>
      </w:pPr>
    </w:p>
    <w:p>
      <w:pPr>
        <w:ind w:right="180"/>
        <w:spacing w:after="0" w:line="286" w:lineRule="auto"/>
        <w:rPr>
          <w:sz w:val="20"/>
          <w:szCs w:val="20"/>
          <w:color w:val="auto"/>
        </w:rPr>
      </w:pPr>
      <w:r>
        <w:rPr>
          <w:rFonts w:ascii="Arial" w:cs="Arial" w:eastAsia="Arial" w:hAnsi="Arial"/>
          <w:sz w:val="12"/>
          <w:szCs w:val="12"/>
          <w:color w:val="auto"/>
        </w:rPr>
        <w:t>To further enhance the Company’s strong capital and liquidity positions, HBT Financial successfully completed a private placement of $85.0 million of 5.75% Fixed-to-Floating Rate Subordinated Notes due 2036 during the quarter. The subordinated notes qualify as Tier 2 regulatory capital.</w:t>
      </w:r>
    </w:p>
    <w:p>
      <w:pPr>
        <w:spacing w:after="0" w:line="10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HBT Financial, Inc.</w:t>
      </w:r>
    </w:p>
    <w:p>
      <w:pPr>
        <w:spacing w:after="0" w:line="150" w:lineRule="exact"/>
        <w:rPr>
          <w:sz w:val="20"/>
          <w:szCs w:val="20"/>
          <w:color w:val="auto"/>
        </w:rPr>
      </w:pPr>
    </w:p>
    <w:p>
      <w:pPr>
        <w:ind w:right="60"/>
        <w:spacing w:after="0" w:line="268" w:lineRule="auto"/>
        <w:rPr>
          <w:sz w:val="20"/>
          <w:szCs w:val="20"/>
          <w:color w:val="auto"/>
        </w:rPr>
      </w:pPr>
      <w:r>
        <w:rPr>
          <w:rFonts w:ascii="Arial" w:cs="Arial" w:eastAsia="Arial" w:hAnsi="Arial"/>
          <w:sz w:val="12"/>
          <w:szCs w:val="12"/>
          <w:color w:val="auto"/>
        </w:rPr>
        <w:t>HBT Financial, Inc., headquartered in Bloomington, Illinois, is the holding company for Heartland Bank and Trust Company, and has banking roots that can be traced back to 1920. HBT Financial provides a comprehensive suite of financial products and services to consumers, businesses, and municipal entities throughout Illinois, eastern Iowa, and suburban St. Louis through 83 full-service branches. As of March 31, 2026, HBT Financial had total assets of $6.8 billion, total loans of $4.7 billion, and total deposits of $5.8 billion.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Non-GAAP Financial Measures</w:t>
      </w:r>
    </w:p>
    <w:p>
      <w:pPr>
        <w:spacing w:after="0" w:line="150"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Some of the financial measures included in this press release are not measures of financial performance recognized in accordance with GAAP. These non-GAAP financial measures include adjusted net income, adjusted earnings per share, adjusted ROAA, pre-provision net revenue, pre-provision net revenue less charge-offs (recoveries), adjusted pre-provision net revenue, adjusted pre-provision net revenue less charge-offs (recoveries), net interest income (tax-equivalent basis), net interest margin (tax-equivalent basis), efficiency ratio (tax-equivalent basis), adjusted efficiency ratio (tax-equivalent basis), the ratio of tangible common equity to tangible assets, tangible book value per share, adjusted ROAE, ROATCE, and adjusted ROATCE. Our management uses these non-GAAP financial measures, together with the related GAAP financial measures, in its analysis of our performance and in making business decisions. Management believes that it is a standard practice in the banking industry to present these non-GAAP financial measures, and accordingly believes that providing these measures may be useful for peer comparison purposes. These disclosures should not be viewed as substitutes for the results determined to be in accordance with GAAP; nor are they necessarily comparable to non-GAAP financial measures that may be presented by other companies. See our reconciliation of non-GAAP financial measures to their most directly comparable GAAP financial measures in the “Reconciliation of Non-GAAP Financial Measures” tables.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50"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Readers should note that in addition to the historical information contained herein, this press release contains, and future oral and written statements of the Company and its management may contain, “forward-looking statements” within the meanings of the Private Securities Litigation Reform Act of 1995, Section 27A of the Securities Act of 1933, as amended, and Section 21E of the Securities Exchange Act of 1934, as amended. Forward-looking statements generally can be identified by the use of forward-looking terminology such as “will,” “propose,” “may,” “plan,” “seek,” “expect,” “intend,” “estimate,” “anticipate,” “believe,” “continue,” or “should,” or similar terminology and the negative forms of such words. Any forward-looking statements presented herein are made only as of the date of this press release, and the Company does not undertake any obligation to update or revise any forward-looking statements to reflect changes in assumptions, the occurrence of unanticipated events, or otherwise.</w:t>
      </w:r>
    </w:p>
    <w:p>
      <w:pPr>
        <w:spacing w:after="0" w:line="119" w:lineRule="exact"/>
        <w:rPr>
          <w:sz w:val="20"/>
          <w:szCs w:val="20"/>
          <w:color w:val="auto"/>
        </w:rPr>
      </w:pPr>
    </w:p>
    <w:p>
      <w:pPr>
        <w:ind w:right="80"/>
        <w:spacing w:after="0" w:line="256" w:lineRule="auto"/>
        <w:rPr>
          <w:sz w:val="20"/>
          <w:szCs w:val="20"/>
          <w:color w:val="auto"/>
        </w:rPr>
      </w:pPr>
      <w:r>
        <w:rPr>
          <w:rFonts w:ascii="Arial" w:cs="Arial" w:eastAsia="Arial" w:hAnsi="Arial"/>
          <w:sz w:val="12"/>
          <w:szCs w:val="12"/>
          <w:color w:val="auto"/>
        </w:rPr>
        <w:t>Factors that could cause actual results to differ materially from these forward-looking statements include, but are not limited to: (1) the strength of the local, state, national and international economies and financial markets (including effects of inflationary pressures, global energy market conditions, the threat or implementation of tariffs, immigration enforcement and changes in foreign policy); (2) policy changes in, and the interpretation and prioritization of, local, state and federal laws, regulations and governmental policies, including executive orders; (3) the economic impact of any future terrorist threats and attacks, widespread disease or pandemics, acts of war or other threats thereof (including the Russian invasion of Ukraine and the conflicts in the Middle East), or other adverse events that could cause economic deterioration or instability in credit markets, and the response of the local, state and national governments to any such adverse external events; (4) new and revised accounting policies and practices, as may be adopted by state and federal regulatory banking agencies, the Financial Accounting Standards Board or the Public Company Accounting Oversight Board; (5) the imposition of tariffs or other governmental policies impacting the value of products produced by the Company's commercial borrowers; (6) changes in interest rates and prepayment rates of the Company’s assets; (7) increased</w:t>
      </w:r>
    </w:p>
    <w:p>
      <w:pPr>
        <w:sectPr>
          <w:pgSz w:w="11900" w:h="16838" w:orient="portrait"/>
          <w:cols w:equalWidth="0" w:num="1">
            <w:col w:w="11280"/>
          </w:cols>
          <w:pgMar w:left="300" w:top="135" w:right="319" w:bottom="1440" w:gutter="0" w:footer="0" w:header="0"/>
        </w:sectPr>
      </w:pPr>
    </w:p>
    <w:bookmarkStart w:id="8" w:name="page9"/>
    <w:bookmarkEnd w:id="8"/>
    <w:p>
      <w:pPr>
        <w:ind w:left="8"/>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Page 6</w:t>
      </w:r>
    </w:p>
    <w:p>
      <w:pPr>
        <w:spacing w:after="0" w:line="200" w:lineRule="exact"/>
        <w:rPr>
          <w:sz w:val="20"/>
          <w:szCs w:val="20"/>
          <w:color w:val="auto"/>
        </w:rPr>
      </w:pPr>
    </w:p>
    <w:p>
      <w:pPr>
        <w:spacing w:after="0" w:line="236" w:lineRule="exact"/>
        <w:rPr>
          <w:sz w:val="20"/>
          <w:szCs w:val="20"/>
          <w:color w:val="auto"/>
        </w:rPr>
      </w:pPr>
    </w:p>
    <w:p>
      <w:pPr>
        <w:ind w:left="8"/>
        <w:spacing w:after="0" w:line="277" w:lineRule="auto"/>
        <w:rPr>
          <w:sz w:val="20"/>
          <w:szCs w:val="20"/>
          <w:color w:val="auto"/>
        </w:rPr>
      </w:pPr>
      <w:r>
        <w:rPr>
          <w:rFonts w:ascii="Arial" w:cs="Arial" w:eastAsia="Arial" w:hAnsi="Arial"/>
          <w:sz w:val="11"/>
          <w:szCs w:val="11"/>
          <w:color w:val="auto"/>
        </w:rPr>
        <w:t>competition in the financial services sector, including from non-bank competitors such as credit unions, private credit firms, fintech companies, and digital asset service providers, and the inability to attract new customers; (8) technological changes implemented by us and other parties, including our third-party vendors, which may have unforeseen consequences to us and our customers, including the development and implementation of tools incorporating artificial intelligence; (9) unexpected results of acquisitions, which may include failure to realize the anticipated benefits of acquisitions and the possibility that transaction costs may be greater than anticipated, including the acquisition of CNB; (10) the loss of key executives and employees, talent shortages and employee turnover; (11) changes in consumer spending; (12) unexpected outcomes or costs of existing or new litigation or other legal proceedings and regulatory actions involving the Company; (13) the economic impact on the Company and its customers of climate change, natural disasters and of exceptional weather occurrences such as tornadoes, floods and blizzards; (14) fluctuations in the value of securities held in our securities portfolio, including as a result of changes in interest rates;</w:t>
      </w:r>
    </w:p>
    <w:p>
      <w:pPr>
        <w:ind w:left="248" w:hanging="248"/>
        <w:spacing w:after="0"/>
        <w:tabs>
          <w:tab w:leader="none" w:pos="248" w:val="left"/>
        </w:tabs>
        <w:numPr>
          <w:ilvl w:val="0"/>
          <w:numId w:val="3"/>
        </w:numPr>
        <w:rPr>
          <w:rFonts w:ascii="Arial" w:cs="Arial" w:eastAsia="Arial" w:hAnsi="Arial"/>
          <w:sz w:val="12"/>
          <w:szCs w:val="12"/>
          <w:color w:val="auto"/>
        </w:rPr>
      </w:pPr>
      <w:r>
        <w:rPr>
          <w:rFonts w:ascii="Arial" w:cs="Arial" w:eastAsia="Arial" w:hAnsi="Arial"/>
          <w:sz w:val="12"/>
          <w:szCs w:val="12"/>
          <w:color w:val="auto"/>
        </w:rPr>
        <w:t>credit risks and risks from concentrations (by type of borrower, geographic area, collateral and industry) within our loan portfolio (including commercial real estate loans) and large loans to certain borrowers;</w:t>
      </w:r>
    </w:p>
    <w:p>
      <w:pPr>
        <w:spacing w:after="0" w:line="6" w:lineRule="exact"/>
        <w:rPr>
          <w:rFonts w:ascii="Arial" w:cs="Arial" w:eastAsia="Arial" w:hAnsi="Arial"/>
          <w:sz w:val="12"/>
          <w:szCs w:val="12"/>
          <w:color w:val="auto"/>
        </w:rPr>
      </w:pPr>
    </w:p>
    <w:p>
      <w:pPr>
        <w:ind w:left="8" w:hanging="8"/>
        <w:spacing w:after="0" w:line="273" w:lineRule="auto"/>
        <w:tabs>
          <w:tab w:leader="none" w:pos="255"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overall health of the local and national real estate market; (17) the ability to maintain an adequate level of allowance for credit losses on loans; (18) the concentration of large deposits from certain clients who have balances above current FDIC insurance limits and who may withdraw deposits to diversify their exposure; (19) the ability to successfully manage liquidity risk, which may increase dependence on non-core funding sources such as brokered deposits, and may negatively impact the Company’s cost of funds; (20) the level of nonperforming assets on our balance sheet; (21) interruptions involving our information technology and communications systems or those of our third-party servicers; (22) the occurrence of fraudulent activity, breaches or failures of our third-party vendors’ information security controls or cybersecurity-related incidents, including as a result of sophisticated attacks using artificial intelligence and similar tools or as a result of insider fraud; (23) the effectiveness of the Company’s risk management framework; and</w:t>
      </w:r>
    </w:p>
    <w:p>
      <w:pPr>
        <w:ind w:left="248" w:hanging="248"/>
        <w:spacing w:after="0"/>
        <w:tabs>
          <w:tab w:leader="none" w:pos="248"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ability of the Company to manage the risks associated with the foregoing as well as anticipated.</w:t>
      </w:r>
    </w:p>
    <w:p>
      <w:pPr>
        <w:spacing w:after="0" w:line="138" w:lineRule="exact"/>
        <w:rPr>
          <w:sz w:val="20"/>
          <w:szCs w:val="20"/>
          <w:color w:val="auto"/>
        </w:rPr>
      </w:pPr>
    </w:p>
    <w:p>
      <w:pPr>
        <w:ind w:left="8" w:right="140"/>
        <w:spacing w:after="0" w:line="268" w:lineRule="auto"/>
        <w:rPr>
          <w:sz w:val="20"/>
          <w:szCs w:val="20"/>
          <w:color w:val="auto"/>
        </w:rPr>
      </w:pPr>
      <w:r>
        <w:rPr>
          <w:rFonts w:ascii="Arial" w:cs="Arial" w:eastAsia="Arial" w:hAnsi="Arial"/>
          <w:sz w:val="12"/>
          <w:szCs w:val="12"/>
          <w:color w:val="auto"/>
        </w:rPr>
        <w:t>Readers should note that the forward-looking statements included in this press release are not a guarantee of future events, and that actual events may differ materially from those made in or suggested by the forward-looking statements. Additional information concerning the Company and its business, including additional factors that could materially affect the Company’s financial results, is included in the Company’s filings with the Securities and Exchange Commission.</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CONTACT:</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Peter Chapman</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HBTIR@hbtbank.com</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(309) 664-4556</w:t>
      </w:r>
    </w:p>
    <w:p>
      <w:pPr>
        <w:sectPr>
          <w:pgSz w:w="11900" w:h="16838" w:orient="portrait"/>
          <w:cols w:equalWidth="0" w:num="1">
            <w:col w:w="11248"/>
          </w:cols>
          <w:pgMar w:left="292" w:top="135" w:right="359" w:bottom="1440" w:gutter="0" w:footer="0" w:header="0"/>
        </w:sectPr>
      </w:pPr>
    </w:p>
    <w:bookmarkStart w:id="9" w:name="page10"/>
    <w:bookmarkEnd w:id="9"/>
    <w:p>
      <w:pPr>
        <w:ind w:left="8"/>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Page 7</w:t>
      </w:r>
    </w:p>
    <w:p>
      <w:pPr>
        <w:spacing w:after="0" w:line="200" w:lineRule="exact"/>
        <w:rPr>
          <w:sz w:val="20"/>
          <w:szCs w:val="20"/>
          <w:color w:val="auto"/>
        </w:rPr>
      </w:pP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HBT Financial, Inc.</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Unaudited Consolidated Financial Summary</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17"/>
        </w:trPr>
        <w:tc>
          <w:tcPr>
            <w:tcW w:w="652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8"/>
                <w:szCs w:val="8"/>
                <w:b w:val="1"/>
                <w:bCs w:val="1"/>
                <w:color w:val="auto"/>
              </w:rPr>
              <w:t>As of or for the Three Months Ended</w:t>
            </w:r>
          </w:p>
        </w:tc>
        <w:tc>
          <w:tcPr>
            <w:tcW w:w="3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r>
      <w:tr>
        <w:trPr>
          <w:trHeight w:val="73"/>
        </w:trPr>
        <w:tc>
          <w:tcPr>
            <w:tcW w:w="6520" w:type="dxa"/>
            <w:vAlign w:val="bottom"/>
          </w:tcPr>
          <w:p>
            <w:pPr>
              <w:spacing w:after="0"/>
              <w:rPr>
                <w:sz w:val="6"/>
                <w:szCs w:val="6"/>
                <w:color w:val="auto"/>
              </w:rPr>
            </w:pPr>
          </w:p>
        </w:tc>
        <w:tc>
          <w:tcPr>
            <w:tcW w:w="980" w:type="dxa"/>
            <w:vAlign w:val="bottom"/>
          </w:tcPr>
          <w:p>
            <w:pPr>
              <w:jc w:val="right"/>
              <w:spacing w:after="0" w:line="73" w:lineRule="exact"/>
              <w:rPr>
                <w:sz w:val="20"/>
                <w:szCs w:val="20"/>
                <w:color w:val="auto"/>
              </w:rPr>
            </w:pPr>
            <w:r>
              <w:rPr>
                <w:rFonts w:ascii="Arial" w:cs="Arial" w:eastAsia="Arial" w:hAnsi="Arial"/>
                <w:sz w:val="8"/>
                <w:szCs w:val="8"/>
                <w:b w:val="1"/>
                <w:bCs w:val="1"/>
                <w:color w:val="auto"/>
              </w:rPr>
              <w:t>March 31,</w:t>
            </w: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40" w:type="dxa"/>
            <w:vAlign w:val="bottom"/>
            <w:gridSpan w:val="2"/>
          </w:tcPr>
          <w:p>
            <w:pPr>
              <w:jc w:val="center"/>
              <w:ind w:right="360"/>
              <w:spacing w:after="0" w:line="73" w:lineRule="exact"/>
              <w:rPr>
                <w:sz w:val="20"/>
                <w:szCs w:val="20"/>
                <w:color w:val="auto"/>
              </w:rPr>
            </w:pPr>
            <w:r>
              <w:rPr>
                <w:rFonts w:ascii="Arial" w:cs="Arial" w:eastAsia="Arial" w:hAnsi="Arial"/>
                <w:sz w:val="8"/>
                <w:szCs w:val="8"/>
                <w:b w:val="1"/>
                <w:bCs w:val="1"/>
                <w:color w:val="auto"/>
              </w:rPr>
              <w:t>December 31,</w:t>
            </w:r>
          </w:p>
        </w:tc>
        <w:tc>
          <w:tcPr>
            <w:tcW w:w="320" w:type="dxa"/>
            <w:vAlign w:val="bottom"/>
          </w:tcPr>
          <w:p>
            <w:pPr>
              <w:spacing w:after="0"/>
              <w:rPr>
                <w:sz w:val="6"/>
                <w:szCs w:val="6"/>
                <w:color w:val="auto"/>
              </w:rPr>
            </w:pPr>
          </w:p>
        </w:tc>
        <w:tc>
          <w:tcPr>
            <w:tcW w:w="1220" w:type="dxa"/>
            <w:vAlign w:val="bottom"/>
          </w:tcPr>
          <w:p>
            <w:pPr>
              <w:jc w:val="right"/>
              <w:ind w:right="538"/>
              <w:spacing w:after="0" w:line="73" w:lineRule="exact"/>
              <w:rPr>
                <w:sz w:val="20"/>
                <w:szCs w:val="20"/>
                <w:color w:val="auto"/>
              </w:rPr>
            </w:pPr>
            <w:r>
              <w:rPr>
                <w:rFonts w:ascii="Arial" w:cs="Arial" w:eastAsia="Arial" w:hAnsi="Arial"/>
                <w:sz w:val="8"/>
                <w:szCs w:val="8"/>
                <w:b w:val="1"/>
                <w:bCs w:val="1"/>
                <w:color w:val="auto"/>
              </w:rPr>
              <w:t>March 31,</w:t>
            </w:r>
          </w:p>
        </w:tc>
      </w:tr>
      <w:tr>
        <w:trPr>
          <w:trHeight w:val="121"/>
        </w:trPr>
        <w:tc>
          <w:tcPr>
            <w:tcW w:w="6520" w:type="dxa"/>
            <w:vAlign w:val="bottom"/>
            <w:tcBorders>
              <w:bottom w:val="single" w:sz="8" w:color="CCEEFF"/>
            </w:tcBorders>
          </w:tcPr>
          <w:p>
            <w:pPr>
              <w:spacing w:after="0"/>
              <w:rPr>
                <w:sz w:val="20"/>
                <w:szCs w:val="20"/>
                <w:color w:val="auto"/>
              </w:rPr>
            </w:pPr>
            <w:r>
              <w:rPr>
                <w:rFonts w:ascii="Arial" w:cs="Arial" w:eastAsia="Arial" w:hAnsi="Arial"/>
                <w:sz w:val="8"/>
                <w:szCs w:val="8"/>
                <w:i w:val="1"/>
                <w:iCs w:val="1"/>
                <w:color w:val="auto"/>
              </w:rPr>
              <w:t>(dollars in thousands, except per share data)</w:t>
            </w:r>
          </w:p>
        </w:tc>
        <w:tc>
          <w:tcPr>
            <w:tcW w:w="9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b w:val="1"/>
                <w:bCs w:val="1"/>
                <w:color w:val="auto"/>
              </w:rPr>
              <w:t>2026</w:t>
            </w: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jc w:val="center"/>
              <w:ind w:right="238"/>
              <w:spacing w:after="0"/>
              <w:rPr>
                <w:sz w:val="20"/>
                <w:szCs w:val="20"/>
                <w:color w:val="auto"/>
              </w:rPr>
            </w:pPr>
            <w:r>
              <w:rPr>
                <w:rFonts w:ascii="Arial" w:cs="Arial" w:eastAsia="Arial" w:hAnsi="Arial"/>
                <w:sz w:val="8"/>
                <w:szCs w:val="8"/>
                <w:b w:val="1"/>
                <w:bCs w:val="1"/>
                <w:color w:val="auto"/>
              </w:rPr>
              <w:t>2025</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38"/>
              <w:spacing w:after="0"/>
              <w:rPr>
                <w:sz w:val="20"/>
                <w:szCs w:val="20"/>
                <w:color w:val="auto"/>
              </w:rPr>
            </w:pPr>
            <w:r>
              <w:rPr>
                <w:rFonts w:ascii="Arial" w:cs="Arial" w:eastAsia="Arial" w:hAnsi="Arial"/>
                <w:sz w:val="8"/>
                <w:szCs w:val="8"/>
                <w:b w:val="1"/>
                <w:bCs w:val="1"/>
                <w:color w:val="auto"/>
              </w:rPr>
              <w:t>2025</w:t>
            </w:r>
          </w:p>
        </w:tc>
      </w:tr>
      <w:tr>
        <w:trPr>
          <w:trHeight w:val="111"/>
        </w:trPr>
        <w:tc>
          <w:tcPr>
            <w:tcW w:w="6520" w:type="dxa"/>
            <w:vAlign w:val="bottom"/>
            <w:shd w:val="clear" w:color="auto" w:fill="CCEEFF"/>
          </w:tcPr>
          <w:p>
            <w:pPr>
              <w:spacing w:after="0"/>
              <w:rPr>
                <w:sz w:val="20"/>
                <w:szCs w:val="20"/>
                <w:color w:val="auto"/>
              </w:rPr>
            </w:pPr>
            <w:r>
              <w:rPr>
                <w:rFonts w:ascii="Arial" w:cs="Arial" w:eastAsia="Arial" w:hAnsi="Arial"/>
                <w:sz w:val="8"/>
                <w:szCs w:val="8"/>
                <w:color w:val="auto"/>
              </w:rPr>
              <w:t>Interest and dividend income</w:t>
            </w:r>
          </w:p>
        </w:tc>
        <w:tc>
          <w:tcPr>
            <w:tcW w:w="980" w:type="dxa"/>
            <w:vAlign w:val="bottom"/>
            <w:shd w:val="clear" w:color="auto" w:fill="CCEEFF"/>
          </w:tcPr>
          <w:p>
            <w:pPr>
              <w:jc w:val="right"/>
              <w:ind w:right="878"/>
              <w:spacing w:after="0"/>
              <w:rPr>
                <w:sz w:val="20"/>
                <w:szCs w:val="20"/>
                <w:color w:val="auto"/>
              </w:rPr>
            </w:pPr>
            <w:r>
              <w:rPr>
                <w:rFonts w:ascii="Arial" w:cs="Arial" w:eastAsia="Arial" w:hAnsi="Arial"/>
                <w:sz w:val="8"/>
                <w:szCs w:val="8"/>
                <w:color w:val="auto"/>
                <w:w w:val="88"/>
              </w:rPr>
              <w:t>$</w:t>
            </w:r>
          </w:p>
        </w:tc>
        <w:tc>
          <w:tcPr>
            <w:tcW w:w="5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71,839</w:t>
            </w: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w w:val="88"/>
              </w:rPr>
              <w:t>$</w:t>
            </w:r>
          </w:p>
        </w:tc>
        <w:tc>
          <w:tcPr>
            <w:tcW w:w="12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64,391</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w w:val="88"/>
              </w:rPr>
              <w:t>$</w:t>
            </w:r>
          </w:p>
        </w:tc>
        <w:tc>
          <w:tcPr>
            <w:tcW w:w="1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63,138</w:t>
            </w:r>
          </w:p>
        </w:tc>
      </w:tr>
      <w:tr>
        <w:trPr>
          <w:trHeight w:val="113"/>
        </w:trPr>
        <w:tc>
          <w:tcPr>
            <w:tcW w:w="6520" w:type="dxa"/>
            <w:vAlign w:val="bottom"/>
            <w:tcBorders>
              <w:bottom w:val="single" w:sz="8" w:color="CCEEFF"/>
            </w:tcBorders>
          </w:tcPr>
          <w:p>
            <w:pPr>
              <w:spacing w:after="0"/>
              <w:rPr>
                <w:sz w:val="20"/>
                <w:szCs w:val="20"/>
                <w:color w:val="auto"/>
              </w:rPr>
            </w:pPr>
            <w:r>
              <w:rPr>
                <w:rFonts w:ascii="Arial" w:cs="Arial" w:eastAsia="Arial" w:hAnsi="Arial"/>
                <w:sz w:val="8"/>
                <w:szCs w:val="8"/>
                <w:color w:val="auto"/>
              </w:rPr>
              <w:t>Interest expense</w:t>
            </w:r>
          </w:p>
        </w:tc>
        <w:tc>
          <w:tcPr>
            <w:tcW w:w="9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15,452</w:t>
            </w:r>
          </w:p>
        </w:tc>
        <w:tc>
          <w:tcPr>
            <w:tcW w:w="8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13,848</w:t>
            </w:r>
          </w:p>
        </w:tc>
        <w:tc>
          <w:tcPr>
            <w:tcW w:w="8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14,430</w:t>
            </w:r>
          </w:p>
        </w:tc>
      </w:tr>
      <w:tr>
        <w:trPr>
          <w:trHeight w:val="110"/>
        </w:trPr>
        <w:tc>
          <w:tcPr>
            <w:tcW w:w="6520" w:type="dxa"/>
            <w:vAlign w:val="bottom"/>
            <w:shd w:val="clear" w:color="auto" w:fill="CCEEFF"/>
          </w:tcPr>
          <w:p>
            <w:pPr>
              <w:spacing w:after="0"/>
              <w:rPr>
                <w:sz w:val="20"/>
                <w:szCs w:val="20"/>
                <w:color w:val="auto"/>
              </w:rPr>
            </w:pPr>
            <w:r>
              <w:rPr>
                <w:rFonts w:ascii="Arial" w:cs="Arial" w:eastAsia="Arial" w:hAnsi="Arial"/>
                <w:sz w:val="8"/>
                <w:szCs w:val="8"/>
                <w:color w:val="auto"/>
              </w:rPr>
              <w:t>Net interest income</w:t>
            </w:r>
          </w:p>
        </w:tc>
        <w:tc>
          <w:tcPr>
            <w:tcW w:w="980" w:type="dxa"/>
            <w:vAlign w:val="bottom"/>
            <w:shd w:val="clear" w:color="auto" w:fill="CCEEFF"/>
          </w:tcPr>
          <w:p>
            <w:pPr>
              <w:spacing w:after="0"/>
              <w:rPr>
                <w:sz w:val="9"/>
                <w:szCs w:val="9"/>
                <w:color w:val="auto"/>
              </w:rPr>
            </w:pPr>
          </w:p>
        </w:tc>
        <w:tc>
          <w:tcPr>
            <w:tcW w:w="5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56,387</w:t>
            </w: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50,543</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48,708</w:t>
            </w:r>
          </w:p>
        </w:tc>
      </w:tr>
      <w:tr>
        <w:trPr>
          <w:trHeight w:val="113"/>
        </w:trPr>
        <w:tc>
          <w:tcPr>
            <w:tcW w:w="6520" w:type="dxa"/>
            <w:vAlign w:val="bottom"/>
            <w:tcBorders>
              <w:bottom w:val="single" w:sz="8" w:color="CCEEFF"/>
            </w:tcBorders>
          </w:tcPr>
          <w:p>
            <w:pPr>
              <w:spacing w:after="0"/>
              <w:rPr>
                <w:sz w:val="20"/>
                <w:szCs w:val="20"/>
                <w:color w:val="auto"/>
              </w:rPr>
            </w:pPr>
            <w:r>
              <w:rPr>
                <w:rFonts w:ascii="Arial" w:cs="Arial" w:eastAsia="Arial" w:hAnsi="Arial"/>
                <w:sz w:val="8"/>
                <w:szCs w:val="8"/>
                <w:color w:val="auto"/>
              </w:rPr>
              <w:t>Provision for credit losses</w:t>
            </w:r>
          </w:p>
        </w:tc>
        <w:tc>
          <w:tcPr>
            <w:tcW w:w="9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(156)</w:t>
            </w:r>
          </w:p>
        </w:tc>
        <w:tc>
          <w:tcPr>
            <w:tcW w:w="80" w:type="dxa"/>
            <w:vAlign w:val="bottom"/>
            <w:tcBorders>
              <w:bottom w:val="single" w:sz="8" w:color="CCEEFF"/>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1,463</w:t>
            </w:r>
          </w:p>
        </w:tc>
        <w:tc>
          <w:tcPr>
            <w:tcW w:w="8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576</w:t>
            </w:r>
          </w:p>
        </w:tc>
      </w:tr>
      <w:tr>
        <w:trPr>
          <w:trHeight w:val="110"/>
        </w:trPr>
        <w:tc>
          <w:tcPr>
            <w:tcW w:w="6520" w:type="dxa"/>
            <w:vAlign w:val="bottom"/>
            <w:shd w:val="clear" w:color="auto" w:fill="CCEEFF"/>
          </w:tcPr>
          <w:p>
            <w:pPr>
              <w:spacing w:after="0"/>
              <w:rPr>
                <w:sz w:val="20"/>
                <w:szCs w:val="20"/>
                <w:color w:val="auto"/>
              </w:rPr>
            </w:pPr>
            <w:r>
              <w:rPr>
                <w:rFonts w:ascii="Arial" w:cs="Arial" w:eastAsia="Arial" w:hAnsi="Arial"/>
                <w:sz w:val="8"/>
                <w:szCs w:val="8"/>
                <w:color w:val="auto"/>
              </w:rPr>
              <w:t>Net interest income after provision for credit losses</w:t>
            </w:r>
          </w:p>
        </w:tc>
        <w:tc>
          <w:tcPr>
            <w:tcW w:w="980" w:type="dxa"/>
            <w:vAlign w:val="bottom"/>
            <w:shd w:val="clear" w:color="auto" w:fill="CCEEFF"/>
          </w:tcPr>
          <w:p>
            <w:pPr>
              <w:spacing w:after="0"/>
              <w:rPr>
                <w:sz w:val="9"/>
                <w:szCs w:val="9"/>
                <w:color w:val="auto"/>
              </w:rPr>
            </w:pPr>
          </w:p>
        </w:tc>
        <w:tc>
          <w:tcPr>
            <w:tcW w:w="5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56,543</w:t>
            </w: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49,080</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48,132</w:t>
            </w:r>
          </w:p>
        </w:tc>
      </w:tr>
      <w:tr>
        <w:trPr>
          <w:trHeight w:val="113"/>
        </w:trPr>
        <w:tc>
          <w:tcPr>
            <w:tcW w:w="6520" w:type="dxa"/>
            <w:vAlign w:val="bottom"/>
          </w:tcPr>
          <w:p>
            <w:pPr>
              <w:spacing w:after="0"/>
              <w:rPr>
                <w:sz w:val="20"/>
                <w:szCs w:val="20"/>
                <w:color w:val="auto"/>
              </w:rPr>
            </w:pPr>
            <w:r>
              <w:rPr>
                <w:rFonts w:ascii="Arial" w:cs="Arial" w:eastAsia="Arial" w:hAnsi="Arial"/>
                <w:sz w:val="8"/>
                <w:szCs w:val="8"/>
                <w:color w:val="auto"/>
              </w:rPr>
              <w:t>Noninterest income</w:t>
            </w:r>
          </w:p>
        </w:tc>
        <w:tc>
          <w:tcPr>
            <w:tcW w:w="980" w:type="dxa"/>
            <w:vAlign w:val="bottom"/>
          </w:tcPr>
          <w:p>
            <w:pPr>
              <w:spacing w:after="0"/>
              <w:rPr>
                <w:sz w:val="9"/>
                <w:szCs w:val="9"/>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10,944</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jc w:val="right"/>
              <w:ind w:right="78"/>
              <w:spacing w:after="0"/>
              <w:rPr>
                <w:sz w:val="20"/>
                <w:szCs w:val="20"/>
                <w:color w:val="auto"/>
              </w:rPr>
            </w:pPr>
            <w:r>
              <w:rPr>
                <w:rFonts w:ascii="Arial" w:cs="Arial" w:eastAsia="Arial" w:hAnsi="Arial"/>
                <w:sz w:val="8"/>
                <w:szCs w:val="8"/>
                <w:color w:val="auto"/>
              </w:rPr>
              <w:t>9,895</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ind w:right="78"/>
              <w:spacing w:after="0"/>
              <w:rPr>
                <w:sz w:val="20"/>
                <w:szCs w:val="20"/>
                <w:color w:val="auto"/>
              </w:rPr>
            </w:pPr>
            <w:r>
              <w:rPr>
                <w:rFonts w:ascii="Arial" w:cs="Arial" w:eastAsia="Arial" w:hAnsi="Arial"/>
                <w:sz w:val="8"/>
                <w:szCs w:val="8"/>
                <w:color w:val="auto"/>
              </w:rPr>
              <w:t>9,306</w:t>
            </w:r>
          </w:p>
        </w:tc>
      </w:tr>
      <w:tr>
        <w:trPr>
          <w:trHeight w:val="121"/>
        </w:trPr>
        <w:tc>
          <w:tcPr>
            <w:tcW w:w="6520" w:type="dxa"/>
            <w:vAlign w:val="bottom"/>
            <w:shd w:val="clear" w:color="auto" w:fill="CCEEFF"/>
          </w:tcPr>
          <w:p>
            <w:pPr>
              <w:spacing w:after="0"/>
              <w:rPr>
                <w:sz w:val="20"/>
                <w:szCs w:val="20"/>
                <w:color w:val="auto"/>
              </w:rPr>
            </w:pPr>
            <w:r>
              <w:rPr>
                <w:rFonts w:ascii="Arial" w:cs="Arial" w:eastAsia="Arial" w:hAnsi="Arial"/>
                <w:sz w:val="8"/>
                <w:szCs w:val="8"/>
                <w:color w:val="auto"/>
              </w:rPr>
              <w:t>Noninterest expense</w:t>
            </w:r>
          </w:p>
        </w:tc>
        <w:tc>
          <w:tcPr>
            <w:tcW w:w="98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52,437</w:t>
            </w:r>
          </w:p>
        </w:tc>
        <w:tc>
          <w:tcPr>
            <w:tcW w:w="8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33,061</w:t>
            </w:r>
          </w:p>
        </w:tc>
        <w:tc>
          <w:tcPr>
            <w:tcW w:w="8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31,935</w:t>
            </w:r>
          </w:p>
        </w:tc>
      </w:tr>
      <w:tr>
        <w:trPr>
          <w:trHeight w:val="102"/>
        </w:trPr>
        <w:tc>
          <w:tcPr>
            <w:tcW w:w="6520" w:type="dxa"/>
            <w:vAlign w:val="bottom"/>
          </w:tcPr>
          <w:p>
            <w:pPr>
              <w:spacing w:after="0"/>
              <w:rPr>
                <w:sz w:val="20"/>
                <w:szCs w:val="20"/>
                <w:color w:val="auto"/>
              </w:rPr>
            </w:pPr>
            <w:r>
              <w:rPr>
                <w:rFonts w:ascii="Arial" w:cs="Arial" w:eastAsia="Arial" w:hAnsi="Arial"/>
                <w:sz w:val="8"/>
                <w:szCs w:val="8"/>
                <w:color w:val="auto"/>
              </w:rPr>
              <w:t>Income before income tax expense</w:t>
            </w:r>
          </w:p>
        </w:tc>
        <w:tc>
          <w:tcPr>
            <w:tcW w:w="980" w:type="dxa"/>
            <w:vAlign w:val="bottom"/>
          </w:tcPr>
          <w:p>
            <w:pPr>
              <w:spacing w:after="0"/>
              <w:rPr>
                <w:sz w:val="8"/>
                <w:szCs w:val="8"/>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15,050</w:t>
            </w: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tcPr>
          <w:p>
            <w:pPr>
              <w:jc w:val="right"/>
              <w:ind w:right="78"/>
              <w:spacing w:after="0"/>
              <w:rPr>
                <w:sz w:val="20"/>
                <w:szCs w:val="20"/>
                <w:color w:val="auto"/>
              </w:rPr>
            </w:pPr>
            <w:r>
              <w:rPr>
                <w:rFonts w:ascii="Arial" w:cs="Arial" w:eastAsia="Arial" w:hAnsi="Arial"/>
                <w:sz w:val="8"/>
                <w:szCs w:val="8"/>
                <w:color w:val="auto"/>
              </w:rPr>
              <w:t>25,914</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tcPr>
          <w:p>
            <w:pPr>
              <w:jc w:val="right"/>
              <w:ind w:right="78"/>
              <w:spacing w:after="0"/>
              <w:rPr>
                <w:sz w:val="20"/>
                <w:szCs w:val="20"/>
                <w:color w:val="auto"/>
              </w:rPr>
            </w:pPr>
            <w:r>
              <w:rPr>
                <w:rFonts w:ascii="Arial" w:cs="Arial" w:eastAsia="Arial" w:hAnsi="Arial"/>
                <w:sz w:val="8"/>
                <w:szCs w:val="8"/>
                <w:color w:val="auto"/>
              </w:rPr>
              <w:t>25,503</w:t>
            </w:r>
          </w:p>
        </w:tc>
      </w:tr>
      <w:tr>
        <w:trPr>
          <w:trHeight w:val="117"/>
        </w:trPr>
        <w:tc>
          <w:tcPr>
            <w:tcW w:w="6520" w:type="dxa"/>
            <w:vAlign w:val="bottom"/>
            <w:shd w:val="clear" w:color="auto" w:fill="CCEEFF"/>
          </w:tcPr>
          <w:p>
            <w:pPr>
              <w:spacing w:after="0"/>
              <w:rPr>
                <w:sz w:val="20"/>
                <w:szCs w:val="20"/>
                <w:color w:val="auto"/>
              </w:rPr>
            </w:pPr>
            <w:r>
              <w:rPr>
                <w:rFonts w:ascii="Arial" w:cs="Arial" w:eastAsia="Arial" w:hAnsi="Arial"/>
                <w:sz w:val="8"/>
                <w:szCs w:val="8"/>
                <w:color w:val="auto"/>
              </w:rPr>
              <w:t>Income tax expense</w:t>
            </w:r>
          </w:p>
        </w:tc>
        <w:tc>
          <w:tcPr>
            <w:tcW w:w="98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3,850</w:t>
            </w:r>
          </w:p>
        </w:tc>
        <w:tc>
          <w:tcPr>
            <w:tcW w:w="80" w:type="dxa"/>
            <w:vAlign w:val="bottom"/>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6,976</w:t>
            </w:r>
          </w:p>
        </w:tc>
        <w:tc>
          <w:tcPr>
            <w:tcW w:w="8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8"/>
                <w:szCs w:val="8"/>
                <w:color w:val="auto"/>
              </w:rPr>
              <w:t>6,428</w:t>
            </w:r>
          </w:p>
        </w:tc>
      </w:tr>
      <w:tr>
        <w:trPr>
          <w:trHeight w:val="126"/>
        </w:trPr>
        <w:tc>
          <w:tcPr>
            <w:tcW w:w="6520" w:type="dxa"/>
            <w:vAlign w:val="bottom"/>
            <w:tcBorders>
              <w:bottom w:val="single" w:sz="8" w:color="CCEEFF"/>
            </w:tcBorders>
          </w:tcPr>
          <w:p>
            <w:pPr>
              <w:spacing w:after="0"/>
              <w:rPr>
                <w:sz w:val="20"/>
                <w:szCs w:val="20"/>
                <w:color w:val="auto"/>
              </w:rPr>
            </w:pPr>
            <w:r>
              <w:rPr>
                <w:rFonts w:ascii="Arial" w:cs="Arial" w:eastAsia="Arial" w:hAnsi="Arial"/>
                <w:sz w:val="8"/>
                <w:szCs w:val="8"/>
                <w:color w:val="auto"/>
              </w:rPr>
              <w:t>Net income</w:t>
            </w:r>
          </w:p>
        </w:tc>
        <w:tc>
          <w:tcPr>
            <w:tcW w:w="980" w:type="dxa"/>
            <w:vAlign w:val="bottom"/>
            <w:tcBorders>
              <w:bottom w:val="single" w:sz="8" w:color="auto"/>
            </w:tcBorders>
          </w:tcPr>
          <w:p>
            <w:pPr>
              <w:jc w:val="right"/>
              <w:ind w:right="878"/>
              <w:spacing w:after="0"/>
              <w:rPr>
                <w:sz w:val="20"/>
                <w:szCs w:val="20"/>
                <w:color w:val="auto"/>
              </w:rPr>
            </w:pPr>
            <w:r>
              <w:rPr>
                <w:rFonts w:ascii="Arial" w:cs="Arial" w:eastAsia="Arial" w:hAnsi="Arial"/>
                <w:sz w:val="8"/>
                <w:szCs w:val="8"/>
                <w:color w:val="auto"/>
                <w:w w:val="88"/>
              </w:rPr>
              <w:t>$</w:t>
            </w:r>
          </w:p>
        </w:tc>
        <w:tc>
          <w:tcPr>
            <w:tcW w:w="5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11,200</w:t>
            </w:r>
          </w:p>
        </w:tc>
        <w:tc>
          <w:tcPr>
            <w:tcW w:w="8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jc w:val="right"/>
              <w:ind w:right="178"/>
              <w:spacing w:after="0"/>
              <w:rPr>
                <w:sz w:val="20"/>
                <w:szCs w:val="20"/>
                <w:color w:val="auto"/>
              </w:rPr>
            </w:pPr>
            <w:r>
              <w:rPr>
                <w:rFonts w:ascii="Arial" w:cs="Arial" w:eastAsia="Arial" w:hAnsi="Arial"/>
                <w:sz w:val="8"/>
                <w:szCs w:val="8"/>
                <w:color w:val="auto"/>
                <w:w w:val="88"/>
              </w:rPr>
              <w:t>$</w:t>
            </w:r>
          </w:p>
        </w:tc>
        <w:tc>
          <w:tcPr>
            <w:tcW w:w="12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18,938</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jc w:val="right"/>
              <w:ind w:right="218"/>
              <w:spacing w:after="0"/>
              <w:rPr>
                <w:sz w:val="20"/>
                <w:szCs w:val="20"/>
                <w:color w:val="auto"/>
              </w:rPr>
            </w:pPr>
            <w:r>
              <w:rPr>
                <w:rFonts w:ascii="Arial" w:cs="Arial" w:eastAsia="Arial" w:hAnsi="Arial"/>
                <w:sz w:val="8"/>
                <w:szCs w:val="8"/>
                <w:color w:val="auto"/>
                <w:w w:val="88"/>
              </w:rPr>
              <w:t>$</w:t>
            </w: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19,075</w:t>
            </w:r>
          </w:p>
        </w:tc>
      </w:tr>
      <w:tr>
        <w:trPr>
          <w:trHeight w:val="117"/>
        </w:trPr>
        <w:tc>
          <w:tcPr>
            <w:tcW w:w="65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r>
      <w:tr>
        <w:trPr>
          <w:trHeight w:val="113"/>
        </w:trPr>
        <w:tc>
          <w:tcPr>
            <w:tcW w:w="6520" w:type="dxa"/>
            <w:vAlign w:val="bottom"/>
          </w:tcPr>
          <w:p>
            <w:pPr>
              <w:spacing w:after="0"/>
              <w:rPr>
                <w:sz w:val="20"/>
                <w:szCs w:val="20"/>
                <w:color w:val="auto"/>
              </w:rPr>
            </w:pPr>
            <w:r>
              <w:rPr>
                <w:rFonts w:ascii="Arial" w:cs="Arial" w:eastAsia="Arial" w:hAnsi="Arial"/>
                <w:sz w:val="8"/>
                <w:szCs w:val="8"/>
                <w:color w:val="auto"/>
              </w:rPr>
              <w:t>Earnings per share - diluted</w:t>
            </w:r>
          </w:p>
        </w:tc>
        <w:tc>
          <w:tcPr>
            <w:tcW w:w="980" w:type="dxa"/>
            <w:vAlign w:val="bottom"/>
          </w:tcPr>
          <w:p>
            <w:pPr>
              <w:jc w:val="right"/>
              <w:ind w:right="878"/>
              <w:spacing w:after="0"/>
              <w:rPr>
                <w:sz w:val="20"/>
                <w:szCs w:val="20"/>
                <w:color w:val="auto"/>
              </w:rPr>
            </w:pPr>
            <w:r>
              <w:rPr>
                <w:rFonts w:ascii="Arial" w:cs="Arial" w:eastAsia="Arial" w:hAnsi="Arial"/>
                <w:sz w:val="8"/>
                <w:szCs w:val="8"/>
                <w:color w:val="auto"/>
                <w:w w:val="88"/>
              </w:rPr>
              <w:t>$</w:t>
            </w: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0.34</w:t>
            </w:r>
          </w:p>
        </w:tc>
        <w:tc>
          <w:tcPr>
            <w:tcW w:w="80" w:type="dxa"/>
            <w:vAlign w:val="bottom"/>
          </w:tcPr>
          <w:p>
            <w:pPr>
              <w:spacing w:after="0"/>
              <w:rPr>
                <w:sz w:val="9"/>
                <w:szCs w:val="9"/>
                <w:color w:val="auto"/>
              </w:rPr>
            </w:pPr>
          </w:p>
        </w:tc>
        <w:tc>
          <w:tcPr>
            <w:tcW w:w="280" w:type="dxa"/>
            <w:vAlign w:val="bottom"/>
          </w:tcPr>
          <w:p>
            <w:pPr>
              <w:jc w:val="right"/>
              <w:ind w:right="178"/>
              <w:spacing w:after="0"/>
              <w:rPr>
                <w:sz w:val="20"/>
                <w:szCs w:val="20"/>
                <w:color w:val="auto"/>
              </w:rPr>
            </w:pPr>
            <w:r>
              <w:rPr>
                <w:rFonts w:ascii="Arial" w:cs="Arial" w:eastAsia="Arial" w:hAnsi="Arial"/>
                <w:sz w:val="8"/>
                <w:szCs w:val="8"/>
                <w:color w:val="auto"/>
                <w:w w:val="88"/>
              </w:rPr>
              <w:t>$</w:t>
            </w:r>
          </w:p>
        </w:tc>
        <w:tc>
          <w:tcPr>
            <w:tcW w:w="1260" w:type="dxa"/>
            <w:vAlign w:val="bottom"/>
          </w:tcPr>
          <w:p>
            <w:pPr>
              <w:jc w:val="right"/>
              <w:ind w:right="78"/>
              <w:spacing w:after="0"/>
              <w:rPr>
                <w:sz w:val="20"/>
                <w:szCs w:val="20"/>
                <w:color w:val="auto"/>
              </w:rPr>
            </w:pPr>
            <w:r>
              <w:rPr>
                <w:rFonts w:ascii="Arial" w:cs="Arial" w:eastAsia="Arial" w:hAnsi="Arial"/>
                <w:sz w:val="8"/>
                <w:szCs w:val="8"/>
                <w:color w:val="auto"/>
              </w:rPr>
              <w:t>0.60</w:t>
            </w:r>
          </w:p>
        </w:tc>
        <w:tc>
          <w:tcPr>
            <w:tcW w:w="80" w:type="dxa"/>
            <w:vAlign w:val="bottom"/>
          </w:tcPr>
          <w:p>
            <w:pPr>
              <w:spacing w:after="0"/>
              <w:rPr>
                <w:sz w:val="9"/>
                <w:szCs w:val="9"/>
                <w:color w:val="auto"/>
              </w:rPr>
            </w:pPr>
          </w:p>
        </w:tc>
        <w:tc>
          <w:tcPr>
            <w:tcW w:w="320" w:type="dxa"/>
            <w:vAlign w:val="bottom"/>
          </w:tcPr>
          <w:p>
            <w:pPr>
              <w:jc w:val="right"/>
              <w:ind w:right="218"/>
              <w:spacing w:after="0"/>
              <w:rPr>
                <w:sz w:val="20"/>
                <w:szCs w:val="20"/>
                <w:color w:val="auto"/>
              </w:rPr>
            </w:pPr>
            <w:r>
              <w:rPr>
                <w:rFonts w:ascii="Arial" w:cs="Arial" w:eastAsia="Arial" w:hAnsi="Arial"/>
                <w:sz w:val="8"/>
                <w:szCs w:val="8"/>
                <w:color w:val="auto"/>
                <w:w w:val="88"/>
              </w:rPr>
              <w:t>$</w:t>
            </w:r>
          </w:p>
        </w:tc>
        <w:tc>
          <w:tcPr>
            <w:tcW w:w="1220" w:type="dxa"/>
            <w:vAlign w:val="bottom"/>
          </w:tcPr>
          <w:p>
            <w:pPr>
              <w:jc w:val="right"/>
              <w:ind w:right="78"/>
              <w:spacing w:after="0"/>
              <w:rPr>
                <w:sz w:val="20"/>
                <w:szCs w:val="20"/>
                <w:color w:val="auto"/>
              </w:rPr>
            </w:pPr>
            <w:r>
              <w:rPr>
                <w:rFonts w:ascii="Arial" w:cs="Arial" w:eastAsia="Arial" w:hAnsi="Arial"/>
                <w:sz w:val="8"/>
                <w:szCs w:val="8"/>
                <w:color w:val="auto"/>
              </w:rPr>
              <w:t>0.60</w:t>
            </w:r>
          </w:p>
        </w:tc>
      </w:tr>
      <w:tr>
        <w:trPr>
          <w:trHeight w:val="139"/>
        </w:trPr>
        <w:tc>
          <w:tcPr>
            <w:tcW w:w="65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117"/>
        </w:trPr>
        <w:tc>
          <w:tcPr>
            <w:tcW w:w="6520" w:type="dxa"/>
            <w:vAlign w:val="bottom"/>
          </w:tcPr>
          <w:p>
            <w:pPr>
              <w:spacing w:after="0"/>
              <w:rPr>
                <w:sz w:val="20"/>
                <w:szCs w:val="20"/>
                <w:color w:val="auto"/>
              </w:rPr>
            </w:pPr>
            <w:r>
              <w:rPr>
                <w:rFonts w:ascii="Arial" w:cs="Arial" w:eastAsia="Arial" w:hAnsi="Arial"/>
                <w:sz w:val="8"/>
                <w:szCs w:val="8"/>
                <w:color w:val="auto"/>
              </w:rPr>
              <w:t xml:space="preserve">Adjusted net income </w:t>
            </w:r>
            <w:r>
              <w:rPr>
                <w:rFonts w:ascii="Arial" w:cs="Arial" w:eastAsia="Arial" w:hAnsi="Arial"/>
                <w:sz w:val="10"/>
                <w:szCs w:val="10"/>
                <w:color w:val="auto"/>
                <w:vertAlign w:val="superscript"/>
              </w:rPr>
              <w:t>(1)</w:t>
            </w:r>
          </w:p>
        </w:tc>
        <w:tc>
          <w:tcPr>
            <w:tcW w:w="980" w:type="dxa"/>
            <w:vAlign w:val="bottom"/>
          </w:tcPr>
          <w:p>
            <w:pPr>
              <w:jc w:val="right"/>
              <w:ind w:right="878"/>
              <w:spacing w:after="0"/>
              <w:rPr>
                <w:sz w:val="20"/>
                <w:szCs w:val="20"/>
                <w:color w:val="auto"/>
              </w:rPr>
            </w:pPr>
            <w:r>
              <w:rPr>
                <w:rFonts w:ascii="Arial" w:cs="Arial" w:eastAsia="Arial" w:hAnsi="Arial"/>
                <w:sz w:val="8"/>
                <w:szCs w:val="8"/>
                <w:color w:val="auto"/>
                <w:w w:val="88"/>
              </w:rPr>
              <w:t>$</w:t>
            </w: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22,610</w:t>
            </w:r>
          </w:p>
        </w:tc>
        <w:tc>
          <w:tcPr>
            <w:tcW w:w="80" w:type="dxa"/>
            <w:vAlign w:val="bottom"/>
          </w:tcPr>
          <w:p>
            <w:pPr>
              <w:spacing w:after="0"/>
              <w:rPr>
                <w:sz w:val="10"/>
                <w:szCs w:val="10"/>
                <w:color w:val="auto"/>
              </w:rPr>
            </w:pPr>
          </w:p>
        </w:tc>
        <w:tc>
          <w:tcPr>
            <w:tcW w:w="280" w:type="dxa"/>
            <w:vAlign w:val="bottom"/>
          </w:tcPr>
          <w:p>
            <w:pPr>
              <w:jc w:val="right"/>
              <w:ind w:right="178"/>
              <w:spacing w:after="0"/>
              <w:rPr>
                <w:sz w:val="20"/>
                <w:szCs w:val="20"/>
                <w:color w:val="auto"/>
              </w:rPr>
            </w:pPr>
            <w:r>
              <w:rPr>
                <w:rFonts w:ascii="Arial" w:cs="Arial" w:eastAsia="Arial" w:hAnsi="Arial"/>
                <w:sz w:val="8"/>
                <w:szCs w:val="8"/>
                <w:color w:val="auto"/>
                <w:w w:val="88"/>
              </w:rPr>
              <w:t>$</w:t>
            </w:r>
          </w:p>
        </w:tc>
        <w:tc>
          <w:tcPr>
            <w:tcW w:w="1260" w:type="dxa"/>
            <w:vAlign w:val="bottom"/>
          </w:tcPr>
          <w:p>
            <w:pPr>
              <w:jc w:val="right"/>
              <w:ind w:right="78"/>
              <w:spacing w:after="0"/>
              <w:rPr>
                <w:sz w:val="20"/>
                <w:szCs w:val="20"/>
                <w:color w:val="auto"/>
              </w:rPr>
            </w:pPr>
            <w:r>
              <w:rPr>
                <w:rFonts w:ascii="Arial" w:cs="Arial" w:eastAsia="Arial" w:hAnsi="Arial"/>
                <w:sz w:val="8"/>
                <w:szCs w:val="8"/>
                <w:color w:val="auto"/>
              </w:rPr>
              <w:t>20,139</w:t>
            </w:r>
          </w:p>
        </w:tc>
        <w:tc>
          <w:tcPr>
            <w:tcW w:w="80" w:type="dxa"/>
            <w:vAlign w:val="bottom"/>
          </w:tcPr>
          <w:p>
            <w:pPr>
              <w:spacing w:after="0"/>
              <w:rPr>
                <w:sz w:val="10"/>
                <w:szCs w:val="10"/>
                <w:color w:val="auto"/>
              </w:rPr>
            </w:pPr>
          </w:p>
        </w:tc>
        <w:tc>
          <w:tcPr>
            <w:tcW w:w="320" w:type="dxa"/>
            <w:vAlign w:val="bottom"/>
          </w:tcPr>
          <w:p>
            <w:pPr>
              <w:jc w:val="right"/>
              <w:ind w:right="218"/>
              <w:spacing w:after="0"/>
              <w:rPr>
                <w:sz w:val="20"/>
                <w:szCs w:val="20"/>
                <w:color w:val="auto"/>
              </w:rPr>
            </w:pPr>
            <w:r>
              <w:rPr>
                <w:rFonts w:ascii="Arial" w:cs="Arial" w:eastAsia="Arial" w:hAnsi="Arial"/>
                <w:sz w:val="8"/>
                <w:szCs w:val="8"/>
                <w:color w:val="auto"/>
                <w:w w:val="88"/>
              </w:rPr>
              <w:t>$</w:t>
            </w:r>
          </w:p>
        </w:tc>
        <w:tc>
          <w:tcPr>
            <w:tcW w:w="1220" w:type="dxa"/>
            <w:vAlign w:val="bottom"/>
          </w:tcPr>
          <w:p>
            <w:pPr>
              <w:jc w:val="right"/>
              <w:ind w:right="78"/>
              <w:spacing w:after="0"/>
              <w:rPr>
                <w:sz w:val="20"/>
                <w:szCs w:val="20"/>
                <w:color w:val="auto"/>
              </w:rPr>
            </w:pPr>
            <w:r>
              <w:rPr>
                <w:rFonts w:ascii="Arial" w:cs="Arial" w:eastAsia="Arial" w:hAnsi="Arial"/>
                <w:sz w:val="8"/>
                <w:szCs w:val="8"/>
                <w:color w:val="auto"/>
              </w:rPr>
              <w:t>19,253</w:t>
            </w:r>
          </w:p>
        </w:tc>
      </w:tr>
      <w:tr>
        <w:trPr>
          <w:trHeight w:val="117"/>
        </w:trPr>
        <w:tc>
          <w:tcPr>
            <w:tcW w:w="6520" w:type="dxa"/>
            <w:vAlign w:val="bottom"/>
            <w:shd w:val="clear" w:color="auto" w:fill="CCEEFF"/>
          </w:tcPr>
          <w:p>
            <w:pPr>
              <w:spacing w:after="0"/>
              <w:rPr>
                <w:sz w:val="20"/>
                <w:szCs w:val="20"/>
                <w:color w:val="auto"/>
              </w:rPr>
            </w:pPr>
            <w:r>
              <w:rPr>
                <w:rFonts w:ascii="Arial" w:cs="Arial" w:eastAsia="Arial" w:hAnsi="Arial"/>
                <w:sz w:val="8"/>
                <w:szCs w:val="8"/>
                <w:color w:val="auto"/>
              </w:rPr>
              <w:t xml:space="preserve">Adjusted earnings per share - diluted </w:t>
            </w:r>
            <w:r>
              <w:rPr>
                <w:rFonts w:ascii="Arial" w:cs="Arial" w:eastAsia="Arial" w:hAnsi="Arial"/>
                <w:sz w:val="10"/>
                <w:szCs w:val="10"/>
                <w:color w:val="auto"/>
                <w:vertAlign w:val="superscript"/>
              </w:rPr>
              <w:t>(1)</w:t>
            </w:r>
          </w:p>
        </w:tc>
        <w:tc>
          <w:tcPr>
            <w:tcW w:w="98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0.68</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0.64</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0.61</w:t>
            </w:r>
          </w:p>
        </w:tc>
      </w:tr>
      <w:tr>
        <w:trPr>
          <w:trHeight w:val="135"/>
        </w:trPr>
        <w:tc>
          <w:tcPr>
            <w:tcW w:w="6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17"/>
        </w:trPr>
        <w:tc>
          <w:tcPr>
            <w:tcW w:w="6520" w:type="dxa"/>
            <w:vAlign w:val="bottom"/>
            <w:shd w:val="clear" w:color="auto" w:fill="CCEEFF"/>
          </w:tcPr>
          <w:p>
            <w:pPr>
              <w:spacing w:after="0"/>
              <w:rPr>
                <w:sz w:val="20"/>
                <w:szCs w:val="20"/>
                <w:color w:val="auto"/>
              </w:rPr>
            </w:pPr>
            <w:r>
              <w:rPr>
                <w:rFonts w:ascii="Arial" w:cs="Arial" w:eastAsia="Arial" w:hAnsi="Arial"/>
                <w:sz w:val="8"/>
                <w:szCs w:val="8"/>
                <w:color w:val="auto"/>
              </w:rPr>
              <w:t>Book value per share</w:t>
            </w:r>
          </w:p>
        </w:tc>
        <w:tc>
          <w:tcPr>
            <w:tcW w:w="980" w:type="dxa"/>
            <w:vAlign w:val="bottom"/>
            <w:shd w:val="clear" w:color="auto" w:fill="CCEEFF"/>
          </w:tcPr>
          <w:p>
            <w:pPr>
              <w:jc w:val="right"/>
              <w:ind w:right="878"/>
              <w:spacing w:after="0"/>
              <w:rPr>
                <w:sz w:val="20"/>
                <w:szCs w:val="20"/>
                <w:color w:val="auto"/>
              </w:rPr>
            </w:pPr>
            <w:r>
              <w:rPr>
                <w:rFonts w:ascii="Arial" w:cs="Arial" w:eastAsia="Arial" w:hAnsi="Arial"/>
                <w:sz w:val="8"/>
                <w:szCs w:val="8"/>
                <w:color w:val="auto"/>
                <w:w w:val="88"/>
              </w:rPr>
              <w:t>$</w:t>
            </w:r>
          </w:p>
        </w:tc>
        <w:tc>
          <w:tcPr>
            <w:tcW w:w="5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20.54</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jc w:val="right"/>
              <w:ind w:right="178"/>
              <w:spacing w:after="0"/>
              <w:rPr>
                <w:sz w:val="20"/>
                <w:szCs w:val="20"/>
                <w:color w:val="auto"/>
              </w:rPr>
            </w:pPr>
            <w:r>
              <w:rPr>
                <w:rFonts w:ascii="Arial" w:cs="Arial" w:eastAsia="Arial" w:hAnsi="Arial"/>
                <w:sz w:val="8"/>
                <w:szCs w:val="8"/>
                <w:color w:val="auto"/>
                <w:w w:val="88"/>
              </w:rPr>
              <w:t>$</w:t>
            </w:r>
          </w:p>
        </w:tc>
        <w:tc>
          <w:tcPr>
            <w:tcW w:w="12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19.58</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jc w:val="right"/>
              <w:ind w:right="218"/>
              <w:spacing w:after="0"/>
              <w:rPr>
                <w:sz w:val="20"/>
                <w:szCs w:val="20"/>
                <w:color w:val="auto"/>
              </w:rPr>
            </w:pPr>
            <w:r>
              <w:rPr>
                <w:rFonts w:ascii="Arial" w:cs="Arial" w:eastAsia="Arial" w:hAnsi="Arial"/>
                <w:sz w:val="8"/>
                <w:szCs w:val="8"/>
                <w:color w:val="auto"/>
                <w:w w:val="88"/>
              </w:rPr>
              <w:t>$</w:t>
            </w:r>
          </w:p>
        </w:tc>
        <w:tc>
          <w:tcPr>
            <w:tcW w:w="1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17.86</w:t>
            </w:r>
          </w:p>
        </w:tc>
      </w:tr>
      <w:tr>
        <w:trPr>
          <w:trHeight w:val="117"/>
        </w:trPr>
        <w:tc>
          <w:tcPr>
            <w:tcW w:w="6520" w:type="dxa"/>
            <w:vAlign w:val="bottom"/>
          </w:tcPr>
          <w:p>
            <w:pPr>
              <w:spacing w:after="0"/>
              <w:rPr>
                <w:sz w:val="20"/>
                <w:szCs w:val="20"/>
                <w:color w:val="auto"/>
              </w:rPr>
            </w:pPr>
            <w:r>
              <w:rPr>
                <w:rFonts w:ascii="Arial" w:cs="Arial" w:eastAsia="Arial" w:hAnsi="Arial"/>
                <w:sz w:val="8"/>
                <w:szCs w:val="8"/>
                <w:color w:val="auto"/>
              </w:rPr>
              <w:t xml:space="preserve">Tangible book value per share </w:t>
            </w:r>
            <w:r>
              <w:rPr>
                <w:rFonts w:ascii="Arial" w:cs="Arial" w:eastAsia="Arial" w:hAnsi="Arial"/>
                <w:sz w:val="10"/>
                <w:szCs w:val="10"/>
                <w:color w:val="auto"/>
                <w:vertAlign w:val="superscript"/>
              </w:rPr>
              <w:t>(1)</w:t>
            </w:r>
          </w:p>
        </w:tc>
        <w:tc>
          <w:tcPr>
            <w:tcW w:w="980" w:type="dxa"/>
            <w:vAlign w:val="bottom"/>
          </w:tcPr>
          <w:p>
            <w:pPr>
              <w:spacing w:after="0"/>
              <w:rPr>
                <w:sz w:val="10"/>
                <w:szCs w:val="10"/>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17.01</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jc w:val="right"/>
              <w:ind w:right="78"/>
              <w:spacing w:after="0"/>
              <w:rPr>
                <w:sz w:val="20"/>
                <w:szCs w:val="20"/>
                <w:color w:val="auto"/>
              </w:rPr>
            </w:pPr>
            <w:r>
              <w:rPr>
                <w:rFonts w:ascii="Arial" w:cs="Arial" w:eastAsia="Arial" w:hAnsi="Arial"/>
                <w:sz w:val="8"/>
                <w:szCs w:val="8"/>
                <w:color w:val="auto"/>
              </w:rPr>
              <w:t>17.20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Pr>
          <w:p>
            <w:pPr>
              <w:jc w:val="right"/>
              <w:ind w:right="78"/>
              <w:spacing w:after="0"/>
              <w:rPr>
                <w:sz w:val="20"/>
                <w:szCs w:val="20"/>
                <w:color w:val="auto"/>
              </w:rPr>
            </w:pPr>
            <w:r>
              <w:rPr>
                <w:rFonts w:ascii="Arial" w:cs="Arial" w:eastAsia="Arial" w:hAnsi="Arial"/>
                <w:sz w:val="8"/>
                <w:szCs w:val="8"/>
                <w:color w:val="auto"/>
              </w:rPr>
              <w:t>15.43</w:t>
            </w:r>
          </w:p>
        </w:tc>
      </w:tr>
      <w:tr>
        <w:trPr>
          <w:trHeight w:val="135"/>
        </w:trPr>
        <w:tc>
          <w:tcPr>
            <w:tcW w:w="65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13"/>
        </w:trPr>
        <w:tc>
          <w:tcPr>
            <w:tcW w:w="6520" w:type="dxa"/>
            <w:vAlign w:val="bottom"/>
          </w:tcPr>
          <w:p>
            <w:pPr>
              <w:spacing w:after="0"/>
              <w:rPr>
                <w:sz w:val="20"/>
                <w:szCs w:val="20"/>
                <w:color w:val="auto"/>
              </w:rPr>
            </w:pPr>
            <w:r>
              <w:rPr>
                <w:rFonts w:ascii="Arial" w:cs="Arial" w:eastAsia="Arial" w:hAnsi="Arial"/>
                <w:sz w:val="8"/>
                <w:szCs w:val="8"/>
                <w:color w:val="auto"/>
              </w:rPr>
              <w:t>Shares of common stock outstanding</w:t>
            </w:r>
          </w:p>
        </w:tc>
        <w:tc>
          <w:tcPr>
            <w:tcW w:w="980" w:type="dxa"/>
            <w:vAlign w:val="bottom"/>
          </w:tcPr>
          <w:p>
            <w:pPr>
              <w:spacing w:after="0"/>
              <w:rPr>
                <w:sz w:val="9"/>
                <w:szCs w:val="9"/>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36,381,078</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jc w:val="right"/>
              <w:ind w:right="78"/>
              <w:spacing w:after="0"/>
              <w:rPr>
                <w:sz w:val="20"/>
                <w:szCs w:val="20"/>
                <w:color w:val="auto"/>
              </w:rPr>
            </w:pPr>
            <w:r>
              <w:rPr>
                <w:rFonts w:ascii="Arial" w:cs="Arial" w:eastAsia="Arial" w:hAnsi="Arial"/>
                <w:sz w:val="8"/>
                <w:szCs w:val="8"/>
                <w:color w:val="auto"/>
              </w:rPr>
              <w:t>31,431,924</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ind w:right="78"/>
              <w:spacing w:after="0"/>
              <w:rPr>
                <w:sz w:val="20"/>
                <w:szCs w:val="20"/>
                <w:color w:val="auto"/>
              </w:rPr>
            </w:pPr>
            <w:r>
              <w:rPr>
                <w:rFonts w:ascii="Arial" w:cs="Arial" w:eastAsia="Arial" w:hAnsi="Arial"/>
                <w:sz w:val="8"/>
                <w:szCs w:val="8"/>
                <w:color w:val="auto"/>
              </w:rPr>
              <w:t>31,631,431</w:t>
            </w:r>
          </w:p>
        </w:tc>
      </w:tr>
      <w:tr>
        <w:trPr>
          <w:trHeight w:val="121"/>
        </w:trPr>
        <w:tc>
          <w:tcPr>
            <w:tcW w:w="6520" w:type="dxa"/>
            <w:vAlign w:val="bottom"/>
            <w:shd w:val="clear" w:color="auto" w:fill="CCEEFF"/>
          </w:tcPr>
          <w:p>
            <w:pPr>
              <w:spacing w:after="0"/>
              <w:rPr>
                <w:sz w:val="20"/>
                <w:szCs w:val="20"/>
                <w:color w:val="auto"/>
              </w:rPr>
            </w:pPr>
            <w:r>
              <w:rPr>
                <w:rFonts w:ascii="Arial" w:cs="Arial" w:eastAsia="Arial" w:hAnsi="Arial"/>
                <w:sz w:val="8"/>
                <w:szCs w:val="8"/>
                <w:color w:val="auto"/>
              </w:rPr>
              <w:t>Weighted average shares of common stock outstanding, including all dilutive potential shares</w:t>
            </w:r>
          </w:p>
        </w:tc>
        <w:tc>
          <w:tcPr>
            <w:tcW w:w="98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33,300,096</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31,559,005</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31,711,671</w:t>
            </w:r>
          </w:p>
        </w:tc>
      </w:tr>
      <w:tr>
        <w:trPr>
          <w:trHeight w:val="177"/>
        </w:trPr>
        <w:tc>
          <w:tcPr>
            <w:tcW w:w="652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SUMMARY RATIOS</w:t>
            </w: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09"/>
        </w:trPr>
        <w:tc>
          <w:tcPr>
            <w:tcW w:w="6520" w:type="dxa"/>
            <w:vAlign w:val="bottom"/>
            <w:shd w:val="clear" w:color="auto" w:fill="CCEEFF"/>
          </w:tcPr>
          <w:p>
            <w:pPr>
              <w:spacing w:after="0"/>
              <w:rPr>
                <w:sz w:val="20"/>
                <w:szCs w:val="20"/>
                <w:color w:val="auto"/>
              </w:rPr>
            </w:pPr>
            <w:r>
              <w:rPr>
                <w:rFonts w:ascii="Arial" w:cs="Arial" w:eastAsia="Arial" w:hAnsi="Arial"/>
                <w:sz w:val="8"/>
                <w:szCs w:val="8"/>
                <w:color w:val="auto"/>
              </w:rPr>
              <w:t>Net interest margin *</w:t>
            </w:r>
          </w:p>
        </w:tc>
        <w:tc>
          <w:tcPr>
            <w:tcW w:w="9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4.20 %</w:t>
            </w: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8"/>
                <w:szCs w:val="8"/>
                <w:color w:val="auto"/>
              </w:rPr>
              <w:t>4.12 %</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8"/>
                <w:szCs w:val="8"/>
                <w:color w:val="auto"/>
              </w:rPr>
              <w:t>4.12 %</w:t>
            </w:r>
          </w:p>
        </w:tc>
      </w:tr>
      <w:tr>
        <w:trPr>
          <w:trHeight w:val="117"/>
        </w:trPr>
        <w:tc>
          <w:tcPr>
            <w:tcW w:w="6520" w:type="dxa"/>
            <w:vAlign w:val="bottom"/>
          </w:tcPr>
          <w:p>
            <w:pPr>
              <w:spacing w:after="0"/>
              <w:rPr>
                <w:sz w:val="20"/>
                <w:szCs w:val="20"/>
                <w:color w:val="auto"/>
              </w:rPr>
            </w:pPr>
            <w:r>
              <w:rPr>
                <w:rFonts w:ascii="Arial" w:cs="Arial" w:eastAsia="Arial" w:hAnsi="Arial"/>
                <w:sz w:val="8"/>
                <w:szCs w:val="8"/>
                <w:color w:val="auto"/>
              </w:rPr>
              <w:t xml:space="preserve">Net interest margin (tax-equivalent basis) * </w:t>
            </w:r>
            <w:r>
              <w:rPr>
                <w:rFonts w:ascii="Arial" w:cs="Arial" w:eastAsia="Arial" w:hAnsi="Arial"/>
                <w:sz w:val="10"/>
                <w:szCs w:val="10"/>
                <w:color w:val="auto"/>
                <w:vertAlign w:val="superscript"/>
              </w:rPr>
              <w:t>(1)(2)</w:t>
            </w:r>
          </w:p>
        </w:tc>
        <w:tc>
          <w:tcPr>
            <w:tcW w:w="980" w:type="dxa"/>
            <w:vAlign w:val="bottom"/>
          </w:tcPr>
          <w:p>
            <w:pPr>
              <w:spacing w:after="0"/>
              <w:rPr>
                <w:sz w:val="10"/>
                <w:szCs w:val="10"/>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4.25</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jc w:val="right"/>
              <w:ind w:right="78"/>
              <w:spacing w:after="0"/>
              <w:rPr>
                <w:sz w:val="20"/>
                <w:szCs w:val="20"/>
                <w:color w:val="auto"/>
              </w:rPr>
            </w:pPr>
            <w:r>
              <w:rPr>
                <w:rFonts w:ascii="Arial" w:cs="Arial" w:eastAsia="Arial" w:hAnsi="Arial"/>
                <w:sz w:val="8"/>
                <w:szCs w:val="8"/>
                <w:color w:val="auto"/>
              </w:rPr>
              <w:t>4.16</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Pr>
          <w:p>
            <w:pPr>
              <w:jc w:val="right"/>
              <w:ind w:right="78"/>
              <w:spacing w:after="0"/>
              <w:rPr>
                <w:sz w:val="20"/>
                <w:szCs w:val="20"/>
                <w:color w:val="auto"/>
              </w:rPr>
            </w:pPr>
            <w:r>
              <w:rPr>
                <w:rFonts w:ascii="Arial" w:cs="Arial" w:eastAsia="Arial" w:hAnsi="Arial"/>
                <w:sz w:val="8"/>
                <w:szCs w:val="8"/>
                <w:color w:val="auto"/>
              </w:rPr>
              <w:t>4.16</w:t>
            </w:r>
          </w:p>
        </w:tc>
      </w:tr>
      <w:tr>
        <w:trPr>
          <w:trHeight w:val="135"/>
        </w:trPr>
        <w:tc>
          <w:tcPr>
            <w:tcW w:w="65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113"/>
        </w:trPr>
        <w:tc>
          <w:tcPr>
            <w:tcW w:w="6520" w:type="dxa"/>
            <w:vAlign w:val="bottom"/>
          </w:tcPr>
          <w:p>
            <w:pPr>
              <w:spacing w:after="0"/>
              <w:rPr>
                <w:sz w:val="20"/>
                <w:szCs w:val="20"/>
                <w:color w:val="auto"/>
              </w:rPr>
            </w:pPr>
            <w:r>
              <w:rPr>
                <w:rFonts w:ascii="Arial" w:cs="Arial" w:eastAsia="Arial" w:hAnsi="Arial"/>
                <w:sz w:val="8"/>
                <w:szCs w:val="8"/>
                <w:color w:val="auto"/>
              </w:rPr>
              <w:t>Efficiency ratio</w:t>
            </w:r>
          </w:p>
        </w:tc>
        <w:tc>
          <w:tcPr>
            <w:tcW w:w="98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8"/>
                <w:szCs w:val="8"/>
                <w:color w:val="auto"/>
              </w:rPr>
              <w:t>76.56 %</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jc w:val="right"/>
              <w:spacing w:after="0"/>
              <w:rPr>
                <w:sz w:val="20"/>
                <w:szCs w:val="20"/>
                <w:color w:val="auto"/>
              </w:rPr>
            </w:pPr>
            <w:r>
              <w:rPr>
                <w:rFonts w:ascii="Arial" w:cs="Arial" w:eastAsia="Arial" w:hAnsi="Arial"/>
                <w:sz w:val="8"/>
                <w:szCs w:val="8"/>
                <w:color w:val="auto"/>
              </w:rPr>
              <w:t>53.64 %</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spacing w:after="0"/>
              <w:rPr>
                <w:sz w:val="20"/>
                <w:szCs w:val="20"/>
                <w:color w:val="auto"/>
              </w:rPr>
            </w:pPr>
            <w:r>
              <w:rPr>
                <w:rFonts w:ascii="Arial" w:cs="Arial" w:eastAsia="Arial" w:hAnsi="Arial"/>
                <w:sz w:val="8"/>
                <w:szCs w:val="8"/>
                <w:color w:val="auto"/>
              </w:rPr>
              <w:t>53.85 %</w:t>
            </w:r>
          </w:p>
        </w:tc>
      </w:tr>
      <w:tr>
        <w:trPr>
          <w:trHeight w:val="121"/>
        </w:trPr>
        <w:tc>
          <w:tcPr>
            <w:tcW w:w="6520" w:type="dxa"/>
            <w:vAlign w:val="bottom"/>
            <w:shd w:val="clear" w:color="auto" w:fill="CCEEFF"/>
          </w:tcPr>
          <w:p>
            <w:pPr>
              <w:spacing w:after="0"/>
              <w:rPr>
                <w:sz w:val="20"/>
                <w:szCs w:val="20"/>
                <w:color w:val="auto"/>
              </w:rPr>
            </w:pPr>
            <w:r>
              <w:rPr>
                <w:rFonts w:ascii="Arial" w:cs="Arial" w:eastAsia="Arial" w:hAnsi="Arial"/>
                <w:sz w:val="8"/>
                <w:szCs w:val="8"/>
                <w:color w:val="auto"/>
              </w:rPr>
              <w:t xml:space="preserve">Efficiency ratio (tax-equivalent basis) </w:t>
            </w:r>
            <w:r>
              <w:rPr>
                <w:rFonts w:ascii="Arial" w:cs="Arial" w:eastAsia="Arial" w:hAnsi="Arial"/>
                <w:sz w:val="10"/>
                <w:szCs w:val="10"/>
                <w:color w:val="auto"/>
                <w:vertAlign w:val="superscript"/>
              </w:rPr>
              <w:t>(1)(2)</w:t>
            </w:r>
          </w:p>
        </w:tc>
        <w:tc>
          <w:tcPr>
            <w:tcW w:w="98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75.83</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53.15</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53.35</w:t>
            </w:r>
          </w:p>
        </w:tc>
      </w:tr>
      <w:tr>
        <w:trPr>
          <w:trHeight w:val="135"/>
        </w:trPr>
        <w:tc>
          <w:tcPr>
            <w:tcW w:w="6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17"/>
        </w:trPr>
        <w:tc>
          <w:tcPr>
            <w:tcW w:w="6520" w:type="dxa"/>
            <w:vAlign w:val="bottom"/>
            <w:shd w:val="clear" w:color="auto" w:fill="CCEEFF"/>
          </w:tcPr>
          <w:p>
            <w:pPr>
              <w:spacing w:after="0"/>
              <w:rPr>
                <w:sz w:val="20"/>
                <w:szCs w:val="20"/>
                <w:color w:val="auto"/>
              </w:rPr>
            </w:pPr>
            <w:r>
              <w:rPr>
                <w:rFonts w:ascii="Arial" w:cs="Arial" w:eastAsia="Arial" w:hAnsi="Arial"/>
                <w:sz w:val="8"/>
                <w:szCs w:val="8"/>
                <w:color w:val="auto"/>
              </w:rPr>
              <w:t>Loan to deposit ratio</w:t>
            </w:r>
          </w:p>
        </w:tc>
        <w:tc>
          <w:tcPr>
            <w:tcW w:w="9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80.76 %</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8"/>
                <w:szCs w:val="8"/>
                <w:color w:val="auto"/>
              </w:rPr>
              <w:t>79.28 %</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8"/>
                <w:szCs w:val="8"/>
                <w:color w:val="auto"/>
              </w:rPr>
              <w:t>78.95 %</w:t>
            </w:r>
          </w:p>
        </w:tc>
      </w:tr>
      <w:tr>
        <w:trPr>
          <w:trHeight w:val="135"/>
        </w:trPr>
        <w:tc>
          <w:tcPr>
            <w:tcW w:w="6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17"/>
        </w:trPr>
        <w:tc>
          <w:tcPr>
            <w:tcW w:w="6520" w:type="dxa"/>
            <w:vAlign w:val="bottom"/>
            <w:shd w:val="clear" w:color="auto" w:fill="CCEEFF"/>
          </w:tcPr>
          <w:p>
            <w:pPr>
              <w:spacing w:after="0"/>
              <w:rPr>
                <w:sz w:val="20"/>
                <w:szCs w:val="20"/>
                <w:color w:val="auto"/>
              </w:rPr>
            </w:pPr>
            <w:r>
              <w:rPr>
                <w:rFonts w:ascii="Arial" w:cs="Arial" w:eastAsia="Arial" w:hAnsi="Arial"/>
                <w:sz w:val="8"/>
                <w:szCs w:val="8"/>
                <w:color w:val="auto"/>
              </w:rPr>
              <w:t>Return on average assets *</w:t>
            </w:r>
          </w:p>
        </w:tc>
        <w:tc>
          <w:tcPr>
            <w:tcW w:w="9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0.80 %</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8"/>
                <w:szCs w:val="8"/>
                <w:color w:val="auto"/>
              </w:rPr>
              <w:t>1.47 %</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8"/>
                <w:szCs w:val="8"/>
                <w:color w:val="auto"/>
              </w:rPr>
              <w:t>1.54 %</w:t>
            </w:r>
          </w:p>
        </w:tc>
      </w:tr>
      <w:tr>
        <w:trPr>
          <w:trHeight w:val="113"/>
        </w:trPr>
        <w:tc>
          <w:tcPr>
            <w:tcW w:w="6520" w:type="dxa"/>
            <w:vAlign w:val="bottom"/>
          </w:tcPr>
          <w:p>
            <w:pPr>
              <w:spacing w:after="0"/>
              <w:rPr>
                <w:sz w:val="20"/>
                <w:szCs w:val="20"/>
                <w:color w:val="auto"/>
              </w:rPr>
            </w:pPr>
            <w:r>
              <w:rPr>
                <w:rFonts w:ascii="Arial" w:cs="Arial" w:eastAsia="Arial" w:hAnsi="Arial"/>
                <w:sz w:val="8"/>
                <w:szCs w:val="8"/>
                <w:color w:val="auto"/>
              </w:rPr>
              <w:t>Return on average stockholders' equity *</w:t>
            </w:r>
          </w:p>
        </w:tc>
        <w:tc>
          <w:tcPr>
            <w:tcW w:w="980" w:type="dxa"/>
            <w:vAlign w:val="bottom"/>
          </w:tcPr>
          <w:p>
            <w:pPr>
              <w:spacing w:after="0"/>
              <w:rPr>
                <w:sz w:val="9"/>
                <w:szCs w:val="9"/>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6.77</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jc w:val="right"/>
              <w:ind w:right="78"/>
              <w:spacing w:after="0"/>
              <w:rPr>
                <w:sz w:val="20"/>
                <w:szCs w:val="20"/>
                <w:color w:val="auto"/>
              </w:rPr>
            </w:pPr>
            <w:r>
              <w:rPr>
                <w:rFonts w:ascii="Arial" w:cs="Arial" w:eastAsia="Arial" w:hAnsi="Arial"/>
                <w:sz w:val="8"/>
                <w:szCs w:val="8"/>
                <w:color w:val="auto"/>
              </w:rPr>
              <w:t>12.34</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ind w:right="78"/>
              <w:spacing w:after="0"/>
              <w:rPr>
                <w:sz w:val="20"/>
                <w:szCs w:val="20"/>
                <w:color w:val="auto"/>
              </w:rPr>
            </w:pPr>
            <w:r>
              <w:rPr>
                <w:rFonts w:ascii="Arial" w:cs="Arial" w:eastAsia="Arial" w:hAnsi="Arial"/>
                <w:sz w:val="8"/>
                <w:szCs w:val="8"/>
                <w:color w:val="auto"/>
              </w:rPr>
              <w:t>13.95</w:t>
            </w:r>
          </w:p>
        </w:tc>
      </w:tr>
      <w:tr>
        <w:trPr>
          <w:trHeight w:val="121"/>
        </w:trPr>
        <w:tc>
          <w:tcPr>
            <w:tcW w:w="6520" w:type="dxa"/>
            <w:vAlign w:val="bottom"/>
            <w:shd w:val="clear" w:color="auto" w:fill="CCEEFF"/>
          </w:tcPr>
          <w:p>
            <w:pPr>
              <w:spacing w:after="0"/>
              <w:rPr>
                <w:sz w:val="20"/>
                <w:szCs w:val="20"/>
                <w:color w:val="auto"/>
              </w:rPr>
            </w:pPr>
            <w:r>
              <w:rPr>
                <w:rFonts w:ascii="Arial" w:cs="Arial" w:eastAsia="Arial" w:hAnsi="Arial"/>
                <w:sz w:val="8"/>
                <w:szCs w:val="8"/>
                <w:color w:val="auto"/>
              </w:rPr>
              <w:t xml:space="preserve">Return on average tangible common equity * </w:t>
            </w:r>
            <w:r>
              <w:rPr>
                <w:rFonts w:ascii="Arial" w:cs="Arial" w:eastAsia="Arial" w:hAnsi="Arial"/>
                <w:sz w:val="10"/>
                <w:szCs w:val="10"/>
                <w:color w:val="auto"/>
                <w:vertAlign w:val="superscript"/>
              </w:rPr>
              <w:t>(1)</w:t>
            </w:r>
          </w:p>
        </w:tc>
        <w:tc>
          <w:tcPr>
            <w:tcW w:w="98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7.87</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14.08</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16.20</w:t>
            </w:r>
          </w:p>
        </w:tc>
      </w:tr>
      <w:tr>
        <w:trPr>
          <w:trHeight w:val="135"/>
        </w:trPr>
        <w:tc>
          <w:tcPr>
            <w:tcW w:w="6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117"/>
        </w:trPr>
        <w:tc>
          <w:tcPr>
            <w:tcW w:w="6520" w:type="dxa"/>
            <w:vAlign w:val="bottom"/>
            <w:shd w:val="clear" w:color="auto" w:fill="CCEEFF"/>
          </w:tcPr>
          <w:p>
            <w:pPr>
              <w:spacing w:after="0"/>
              <w:rPr>
                <w:sz w:val="20"/>
                <w:szCs w:val="20"/>
                <w:color w:val="auto"/>
              </w:rPr>
            </w:pPr>
            <w:r>
              <w:rPr>
                <w:rFonts w:ascii="Arial" w:cs="Arial" w:eastAsia="Arial" w:hAnsi="Arial"/>
                <w:sz w:val="8"/>
                <w:szCs w:val="8"/>
                <w:color w:val="auto"/>
              </w:rPr>
              <w:t xml:space="preserve">Adjusted return on average assets * </w:t>
            </w:r>
            <w:r>
              <w:rPr>
                <w:rFonts w:ascii="Arial" w:cs="Arial" w:eastAsia="Arial" w:hAnsi="Arial"/>
                <w:sz w:val="10"/>
                <w:szCs w:val="10"/>
                <w:color w:val="auto"/>
                <w:vertAlign w:val="superscript"/>
              </w:rPr>
              <w:t>(1)</w:t>
            </w:r>
          </w:p>
        </w:tc>
        <w:tc>
          <w:tcPr>
            <w:tcW w:w="98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1.60 %</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8"/>
                <w:szCs w:val="8"/>
                <w:color w:val="auto"/>
              </w:rPr>
              <w:t>1.57 %</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8"/>
                <w:szCs w:val="8"/>
                <w:color w:val="auto"/>
              </w:rPr>
              <w:t>1.55 %</w:t>
            </w:r>
          </w:p>
        </w:tc>
      </w:tr>
      <w:tr>
        <w:trPr>
          <w:trHeight w:val="117"/>
        </w:trPr>
        <w:tc>
          <w:tcPr>
            <w:tcW w:w="6520" w:type="dxa"/>
            <w:vAlign w:val="bottom"/>
          </w:tcPr>
          <w:p>
            <w:pPr>
              <w:spacing w:after="0"/>
              <w:rPr>
                <w:sz w:val="20"/>
                <w:szCs w:val="20"/>
                <w:color w:val="auto"/>
              </w:rPr>
            </w:pPr>
            <w:r>
              <w:rPr>
                <w:rFonts w:ascii="Arial" w:cs="Arial" w:eastAsia="Arial" w:hAnsi="Arial"/>
                <w:sz w:val="8"/>
                <w:szCs w:val="8"/>
                <w:color w:val="auto"/>
              </w:rPr>
              <w:t xml:space="preserve">Adjusted return on average stockholders' equity * </w:t>
            </w:r>
            <w:r>
              <w:rPr>
                <w:rFonts w:ascii="Arial" w:cs="Arial" w:eastAsia="Arial" w:hAnsi="Arial"/>
                <w:sz w:val="10"/>
                <w:szCs w:val="10"/>
                <w:color w:val="auto"/>
                <w:vertAlign w:val="superscript"/>
              </w:rPr>
              <w:t>(1)</w:t>
            </w:r>
          </w:p>
        </w:tc>
        <w:tc>
          <w:tcPr>
            <w:tcW w:w="980" w:type="dxa"/>
            <w:vAlign w:val="bottom"/>
          </w:tcPr>
          <w:p>
            <w:pPr>
              <w:spacing w:after="0"/>
              <w:rPr>
                <w:sz w:val="10"/>
                <w:szCs w:val="10"/>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13.67</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tcPr>
          <w:p>
            <w:pPr>
              <w:jc w:val="right"/>
              <w:ind w:right="78"/>
              <w:spacing w:after="0"/>
              <w:rPr>
                <w:sz w:val="20"/>
                <w:szCs w:val="20"/>
                <w:color w:val="auto"/>
              </w:rPr>
            </w:pPr>
            <w:r>
              <w:rPr>
                <w:rFonts w:ascii="Arial" w:cs="Arial" w:eastAsia="Arial" w:hAnsi="Arial"/>
                <w:sz w:val="8"/>
                <w:szCs w:val="8"/>
                <w:color w:val="auto"/>
              </w:rPr>
              <w:t>13.12</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Pr>
          <w:p>
            <w:pPr>
              <w:jc w:val="right"/>
              <w:ind w:right="78"/>
              <w:spacing w:after="0"/>
              <w:rPr>
                <w:sz w:val="20"/>
                <w:szCs w:val="20"/>
                <w:color w:val="auto"/>
              </w:rPr>
            </w:pPr>
            <w:r>
              <w:rPr>
                <w:rFonts w:ascii="Arial" w:cs="Arial" w:eastAsia="Arial" w:hAnsi="Arial"/>
                <w:sz w:val="8"/>
                <w:szCs w:val="8"/>
                <w:color w:val="auto"/>
              </w:rPr>
              <w:t>14.08</w:t>
            </w:r>
          </w:p>
        </w:tc>
      </w:tr>
      <w:tr>
        <w:trPr>
          <w:trHeight w:val="117"/>
        </w:trPr>
        <w:tc>
          <w:tcPr>
            <w:tcW w:w="6520" w:type="dxa"/>
            <w:vAlign w:val="bottom"/>
            <w:shd w:val="clear" w:color="auto" w:fill="CCEEFF"/>
          </w:tcPr>
          <w:p>
            <w:pPr>
              <w:spacing w:after="0"/>
              <w:rPr>
                <w:sz w:val="20"/>
                <w:szCs w:val="20"/>
                <w:color w:val="auto"/>
              </w:rPr>
            </w:pPr>
            <w:r>
              <w:rPr>
                <w:rFonts w:ascii="Arial" w:cs="Arial" w:eastAsia="Arial" w:hAnsi="Arial"/>
                <w:sz w:val="8"/>
                <w:szCs w:val="8"/>
                <w:color w:val="auto"/>
              </w:rPr>
              <w:t xml:space="preserve">Adjusted return on average tangible common equity * </w:t>
            </w:r>
            <w:r>
              <w:rPr>
                <w:rFonts w:ascii="Arial" w:cs="Arial" w:eastAsia="Arial" w:hAnsi="Arial"/>
                <w:sz w:val="10"/>
                <w:szCs w:val="10"/>
                <w:color w:val="auto"/>
                <w:vertAlign w:val="superscript"/>
              </w:rPr>
              <w:t>(1)</w:t>
            </w:r>
          </w:p>
        </w:tc>
        <w:tc>
          <w:tcPr>
            <w:tcW w:w="98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15.89</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14.97</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16.36</w:t>
            </w:r>
          </w:p>
        </w:tc>
      </w:tr>
      <w:tr>
        <w:trPr>
          <w:trHeight w:val="177"/>
        </w:trPr>
        <w:tc>
          <w:tcPr>
            <w:tcW w:w="652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CAPITAL</w:t>
            </w:r>
          </w:p>
        </w:tc>
        <w:tc>
          <w:tcPr>
            <w:tcW w:w="9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09"/>
        </w:trPr>
        <w:tc>
          <w:tcPr>
            <w:tcW w:w="6520" w:type="dxa"/>
            <w:vAlign w:val="bottom"/>
            <w:shd w:val="clear" w:color="auto" w:fill="CCEEFF"/>
          </w:tcPr>
          <w:p>
            <w:pPr>
              <w:spacing w:after="0"/>
              <w:rPr>
                <w:sz w:val="20"/>
                <w:szCs w:val="20"/>
                <w:color w:val="auto"/>
              </w:rPr>
            </w:pPr>
            <w:r>
              <w:rPr>
                <w:rFonts w:ascii="Arial" w:cs="Arial" w:eastAsia="Arial" w:hAnsi="Arial"/>
                <w:sz w:val="8"/>
                <w:szCs w:val="8"/>
                <w:color w:val="auto"/>
              </w:rPr>
              <w:t>Total capital to risk-weighted assets</w:t>
            </w:r>
          </w:p>
        </w:tc>
        <w:tc>
          <w:tcPr>
            <w:tcW w:w="9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15.99 %</w:t>
            </w: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8"/>
                <w:szCs w:val="8"/>
                <w:color w:val="auto"/>
              </w:rPr>
              <w:t>16.82 %</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8"/>
                <w:szCs w:val="8"/>
                <w:color w:val="auto"/>
              </w:rPr>
              <w:t>16.85 %</w:t>
            </w:r>
          </w:p>
        </w:tc>
      </w:tr>
      <w:tr>
        <w:trPr>
          <w:trHeight w:val="113"/>
        </w:trPr>
        <w:tc>
          <w:tcPr>
            <w:tcW w:w="6520" w:type="dxa"/>
            <w:vAlign w:val="bottom"/>
          </w:tcPr>
          <w:p>
            <w:pPr>
              <w:spacing w:after="0"/>
              <w:rPr>
                <w:sz w:val="20"/>
                <w:szCs w:val="20"/>
                <w:color w:val="auto"/>
              </w:rPr>
            </w:pPr>
            <w:r>
              <w:rPr>
                <w:rFonts w:ascii="Arial" w:cs="Arial" w:eastAsia="Arial" w:hAnsi="Arial"/>
                <w:sz w:val="8"/>
                <w:szCs w:val="8"/>
                <w:color w:val="auto"/>
              </w:rPr>
              <w:t>Tier 1 capital to risk-weighted assets</w:t>
            </w:r>
          </w:p>
        </w:tc>
        <w:tc>
          <w:tcPr>
            <w:tcW w:w="980" w:type="dxa"/>
            <w:vAlign w:val="bottom"/>
          </w:tcPr>
          <w:p>
            <w:pPr>
              <w:spacing w:after="0"/>
              <w:rPr>
                <w:sz w:val="9"/>
                <w:szCs w:val="9"/>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13.38</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jc w:val="right"/>
              <w:ind w:right="78"/>
              <w:spacing w:after="0"/>
              <w:rPr>
                <w:sz w:val="20"/>
                <w:szCs w:val="20"/>
                <w:color w:val="auto"/>
              </w:rPr>
            </w:pPr>
            <w:r>
              <w:rPr>
                <w:rFonts w:ascii="Arial" w:cs="Arial" w:eastAsia="Arial" w:hAnsi="Arial"/>
                <w:sz w:val="8"/>
                <w:szCs w:val="8"/>
                <w:color w:val="auto"/>
              </w:rPr>
              <w:t>15.72</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ind w:right="78"/>
              <w:spacing w:after="0"/>
              <w:rPr>
                <w:sz w:val="20"/>
                <w:szCs w:val="20"/>
                <w:color w:val="auto"/>
              </w:rPr>
            </w:pPr>
            <w:r>
              <w:rPr>
                <w:rFonts w:ascii="Arial" w:cs="Arial" w:eastAsia="Arial" w:hAnsi="Arial"/>
                <w:sz w:val="8"/>
                <w:szCs w:val="8"/>
                <w:color w:val="auto"/>
              </w:rPr>
              <w:t>14.77</w:t>
            </w:r>
          </w:p>
        </w:tc>
      </w:tr>
      <w:tr>
        <w:trPr>
          <w:trHeight w:val="121"/>
        </w:trPr>
        <w:tc>
          <w:tcPr>
            <w:tcW w:w="6520" w:type="dxa"/>
            <w:vAlign w:val="bottom"/>
            <w:shd w:val="clear" w:color="auto" w:fill="CCEEFF"/>
          </w:tcPr>
          <w:p>
            <w:pPr>
              <w:spacing w:after="0"/>
              <w:rPr>
                <w:sz w:val="20"/>
                <w:szCs w:val="20"/>
                <w:color w:val="auto"/>
              </w:rPr>
            </w:pPr>
            <w:r>
              <w:rPr>
                <w:rFonts w:ascii="Arial" w:cs="Arial" w:eastAsia="Arial" w:hAnsi="Arial"/>
                <w:sz w:val="8"/>
                <w:szCs w:val="8"/>
                <w:color w:val="auto"/>
              </w:rPr>
              <w:t>Common equity tier 1 capital ratio</w:t>
            </w:r>
          </w:p>
        </w:tc>
        <w:tc>
          <w:tcPr>
            <w:tcW w:w="98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12.42</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14.42</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13.48</w:t>
            </w:r>
          </w:p>
        </w:tc>
      </w:tr>
      <w:tr>
        <w:trPr>
          <w:trHeight w:val="113"/>
        </w:trPr>
        <w:tc>
          <w:tcPr>
            <w:tcW w:w="6520" w:type="dxa"/>
            <w:vAlign w:val="bottom"/>
          </w:tcPr>
          <w:p>
            <w:pPr>
              <w:spacing w:after="0"/>
              <w:rPr>
                <w:sz w:val="20"/>
                <w:szCs w:val="20"/>
                <w:color w:val="auto"/>
              </w:rPr>
            </w:pPr>
            <w:r>
              <w:rPr>
                <w:rFonts w:ascii="Arial" w:cs="Arial" w:eastAsia="Arial" w:hAnsi="Arial"/>
                <w:sz w:val="8"/>
                <w:szCs w:val="8"/>
                <w:color w:val="auto"/>
              </w:rPr>
              <w:t>Tier 1 leverage ratio</w:t>
            </w:r>
          </w:p>
        </w:tc>
        <w:tc>
          <w:tcPr>
            <w:tcW w:w="980" w:type="dxa"/>
            <w:vAlign w:val="bottom"/>
          </w:tcPr>
          <w:p>
            <w:pPr>
              <w:spacing w:after="0"/>
              <w:rPr>
                <w:sz w:val="9"/>
                <w:szCs w:val="9"/>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12.63</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jc w:val="right"/>
              <w:ind w:right="78"/>
              <w:spacing w:after="0"/>
              <w:rPr>
                <w:sz w:val="20"/>
                <w:szCs w:val="20"/>
                <w:color w:val="auto"/>
              </w:rPr>
            </w:pPr>
            <w:r>
              <w:rPr>
                <w:rFonts w:ascii="Arial" w:cs="Arial" w:eastAsia="Arial" w:hAnsi="Arial"/>
                <w:sz w:val="8"/>
                <w:szCs w:val="8"/>
                <w:color w:val="auto"/>
              </w:rPr>
              <w:t>12.26</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ind w:right="78"/>
              <w:spacing w:after="0"/>
              <w:rPr>
                <w:sz w:val="20"/>
                <w:szCs w:val="20"/>
                <w:color w:val="auto"/>
              </w:rPr>
            </w:pPr>
            <w:r>
              <w:rPr>
                <w:rFonts w:ascii="Arial" w:cs="Arial" w:eastAsia="Arial" w:hAnsi="Arial"/>
                <w:sz w:val="8"/>
                <w:szCs w:val="8"/>
                <w:color w:val="auto"/>
              </w:rPr>
              <w:t>11.64</w:t>
            </w:r>
          </w:p>
        </w:tc>
      </w:tr>
      <w:tr>
        <w:trPr>
          <w:trHeight w:val="121"/>
        </w:trPr>
        <w:tc>
          <w:tcPr>
            <w:tcW w:w="6520" w:type="dxa"/>
            <w:vAlign w:val="bottom"/>
            <w:shd w:val="clear" w:color="auto" w:fill="CCEEFF"/>
          </w:tcPr>
          <w:p>
            <w:pPr>
              <w:spacing w:after="0"/>
              <w:rPr>
                <w:sz w:val="20"/>
                <w:szCs w:val="20"/>
                <w:color w:val="auto"/>
              </w:rPr>
            </w:pPr>
            <w:r>
              <w:rPr>
                <w:rFonts w:ascii="Arial" w:cs="Arial" w:eastAsia="Arial" w:hAnsi="Arial"/>
                <w:sz w:val="8"/>
                <w:szCs w:val="8"/>
                <w:color w:val="auto"/>
              </w:rPr>
              <w:t>Total stockholders' equity to total assets</w:t>
            </w:r>
          </w:p>
        </w:tc>
        <w:tc>
          <w:tcPr>
            <w:tcW w:w="98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11.03</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12.14</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11.10</w:t>
            </w:r>
          </w:p>
        </w:tc>
      </w:tr>
      <w:tr>
        <w:trPr>
          <w:trHeight w:val="143"/>
        </w:trPr>
        <w:tc>
          <w:tcPr>
            <w:tcW w:w="6520" w:type="dxa"/>
            <w:vAlign w:val="bottom"/>
          </w:tcPr>
          <w:p>
            <w:pPr>
              <w:spacing w:after="0"/>
              <w:rPr>
                <w:sz w:val="20"/>
                <w:szCs w:val="20"/>
                <w:color w:val="auto"/>
              </w:rPr>
            </w:pPr>
            <w:r>
              <w:rPr>
                <w:rFonts w:ascii="Arial" w:cs="Arial" w:eastAsia="Arial" w:hAnsi="Arial"/>
                <w:sz w:val="8"/>
                <w:szCs w:val="8"/>
                <w:color w:val="auto"/>
              </w:rPr>
              <w:t xml:space="preserve">Tangible common equity to tangible assets </w:t>
            </w:r>
            <w:r>
              <w:rPr>
                <w:rFonts w:ascii="Arial" w:cs="Arial" w:eastAsia="Arial" w:hAnsi="Arial"/>
                <w:sz w:val="10"/>
                <w:szCs w:val="10"/>
                <w:color w:val="auto"/>
                <w:vertAlign w:val="superscript"/>
              </w:rPr>
              <w:t>(1)</w:t>
            </w:r>
          </w:p>
        </w:tc>
        <w:tc>
          <w:tcPr>
            <w:tcW w:w="980" w:type="dxa"/>
            <w:vAlign w:val="bottom"/>
          </w:tcPr>
          <w:p>
            <w:pPr>
              <w:spacing w:after="0"/>
              <w:rPr>
                <w:sz w:val="12"/>
                <w:szCs w:val="12"/>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9.31</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right"/>
              <w:ind w:right="78"/>
              <w:spacing w:after="0"/>
              <w:rPr>
                <w:sz w:val="20"/>
                <w:szCs w:val="20"/>
                <w:color w:val="auto"/>
              </w:rPr>
            </w:pPr>
            <w:r>
              <w:rPr>
                <w:rFonts w:ascii="Arial" w:cs="Arial" w:eastAsia="Arial" w:hAnsi="Arial"/>
                <w:sz w:val="8"/>
                <w:szCs w:val="8"/>
                <w:color w:val="auto"/>
              </w:rPr>
              <w:t>10.82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jc w:val="right"/>
              <w:ind w:right="78"/>
              <w:spacing w:after="0"/>
              <w:rPr>
                <w:sz w:val="20"/>
                <w:szCs w:val="20"/>
                <w:color w:val="auto"/>
              </w:rPr>
            </w:pPr>
            <w:r>
              <w:rPr>
                <w:rFonts w:ascii="Arial" w:cs="Arial" w:eastAsia="Arial" w:hAnsi="Arial"/>
                <w:sz w:val="8"/>
                <w:szCs w:val="8"/>
                <w:color w:val="auto"/>
              </w:rPr>
              <w:t>9.73</w:t>
            </w:r>
          </w:p>
        </w:tc>
      </w:tr>
      <w:tr>
        <w:trPr>
          <w:trHeight w:val="151"/>
        </w:trPr>
        <w:tc>
          <w:tcPr>
            <w:tcW w:w="6520" w:type="dxa"/>
            <w:vAlign w:val="bottom"/>
            <w:tcBorders>
              <w:bottom w:val="single" w:sz="8" w:color="auto"/>
            </w:tcBorders>
          </w:tcPr>
          <w:p>
            <w:pPr>
              <w:spacing w:after="0"/>
              <w:rPr>
                <w:sz w:val="20"/>
                <w:szCs w:val="20"/>
                <w:color w:val="auto"/>
              </w:rPr>
            </w:pPr>
            <w:r>
              <w:rPr>
                <w:rFonts w:ascii="Arial" w:cs="Arial" w:eastAsia="Arial" w:hAnsi="Arial"/>
                <w:sz w:val="8"/>
                <w:szCs w:val="8"/>
                <w:b w:val="1"/>
                <w:bCs w:val="1"/>
                <w:color w:val="auto"/>
              </w:rPr>
              <w:t>ASSET QUALITY</w:t>
            </w:r>
          </w:p>
        </w:tc>
        <w:tc>
          <w:tcPr>
            <w:tcW w:w="9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09"/>
        </w:trPr>
        <w:tc>
          <w:tcPr>
            <w:tcW w:w="6520" w:type="dxa"/>
            <w:vAlign w:val="bottom"/>
            <w:shd w:val="clear" w:color="auto" w:fill="CCEEFF"/>
          </w:tcPr>
          <w:p>
            <w:pPr>
              <w:spacing w:after="0"/>
              <w:rPr>
                <w:sz w:val="20"/>
                <w:szCs w:val="20"/>
                <w:color w:val="auto"/>
              </w:rPr>
            </w:pPr>
            <w:r>
              <w:rPr>
                <w:rFonts w:ascii="Arial" w:cs="Arial" w:eastAsia="Arial" w:hAnsi="Arial"/>
                <w:sz w:val="8"/>
                <w:szCs w:val="8"/>
                <w:color w:val="auto"/>
              </w:rPr>
              <w:t>Net charge-offs (recoveries) to average loans *</w:t>
            </w:r>
          </w:p>
        </w:tc>
        <w:tc>
          <w:tcPr>
            <w:tcW w:w="9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8"/>
                <w:szCs w:val="8"/>
                <w:color w:val="auto"/>
              </w:rPr>
              <w:t>0.08 %</w:t>
            </w:r>
          </w:p>
        </w:tc>
        <w:tc>
          <w:tcPr>
            <w:tcW w:w="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8"/>
                <w:szCs w:val="8"/>
                <w:color w:val="auto"/>
              </w:rPr>
              <w:t>0.10 %</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8"/>
                <w:szCs w:val="8"/>
                <w:color w:val="auto"/>
              </w:rPr>
              <w:t>0.05 %</w:t>
            </w:r>
          </w:p>
        </w:tc>
      </w:tr>
      <w:tr>
        <w:trPr>
          <w:trHeight w:val="113"/>
        </w:trPr>
        <w:tc>
          <w:tcPr>
            <w:tcW w:w="6520" w:type="dxa"/>
            <w:vAlign w:val="bottom"/>
          </w:tcPr>
          <w:p>
            <w:pPr>
              <w:spacing w:after="0"/>
              <w:rPr>
                <w:sz w:val="20"/>
                <w:szCs w:val="20"/>
                <w:color w:val="auto"/>
              </w:rPr>
            </w:pPr>
            <w:r>
              <w:rPr>
                <w:rFonts w:ascii="Arial" w:cs="Arial" w:eastAsia="Arial" w:hAnsi="Arial"/>
                <w:sz w:val="8"/>
                <w:szCs w:val="8"/>
                <w:color w:val="auto"/>
              </w:rPr>
              <w:t>Allowance for credit losses to loans, before allowance for credit losses</w:t>
            </w:r>
          </w:p>
        </w:tc>
        <w:tc>
          <w:tcPr>
            <w:tcW w:w="980" w:type="dxa"/>
            <w:vAlign w:val="bottom"/>
          </w:tcPr>
          <w:p>
            <w:pPr>
              <w:spacing w:after="0"/>
              <w:rPr>
                <w:sz w:val="9"/>
                <w:szCs w:val="9"/>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1.29</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jc w:val="right"/>
              <w:ind w:right="78"/>
              <w:spacing w:after="0"/>
              <w:rPr>
                <w:sz w:val="20"/>
                <w:szCs w:val="20"/>
                <w:color w:val="auto"/>
              </w:rPr>
            </w:pPr>
            <w:r>
              <w:rPr>
                <w:rFonts w:ascii="Arial" w:cs="Arial" w:eastAsia="Arial" w:hAnsi="Arial"/>
                <w:sz w:val="8"/>
                <w:szCs w:val="8"/>
                <w:color w:val="auto"/>
              </w:rPr>
              <w:t>1.21</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ind w:right="78"/>
              <w:spacing w:after="0"/>
              <w:rPr>
                <w:sz w:val="20"/>
                <w:szCs w:val="20"/>
                <w:color w:val="auto"/>
              </w:rPr>
            </w:pPr>
            <w:r>
              <w:rPr>
                <w:rFonts w:ascii="Arial" w:cs="Arial" w:eastAsia="Arial" w:hAnsi="Arial"/>
                <w:sz w:val="8"/>
                <w:szCs w:val="8"/>
                <w:color w:val="auto"/>
              </w:rPr>
              <w:t>1.22</w:t>
            </w:r>
          </w:p>
        </w:tc>
      </w:tr>
      <w:tr>
        <w:trPr>
          <w:trHeight w:val="121"/>
        </w:trPr>
        <w:tc>
          <w:tcPr>
            <w:tcW w:w="6520" w:type="dxa"/>
            <w:vAlign w:val="bottom"/>
            <w:shd w:val="clear" w:color="auto" w:fill="CCEEFF"/>
          </w:tcPr>
          <w:p>
            <w:pPr>
              <w:spacing w:after="0"/>
              <w:rPr>
                <w:sz w:val="20"/>
                <w:szCs w:val="20"/>
                <w:color w:val="auto"/>
              </w:rPr>
            </w:pPr>
            <w:r>
              <w:rPr>
                <w:rFonts w:ascii="Arial" w:cs="Arial" w:eastAsia="Arial" w:hAnsi="Arial"/>
                <w:sz w:val="8"/>
                <w:szCs w:val="8"/>
                <w:color w:val="auto"/>
              </w:rPr>
              <w:t>Nonperforming loans to loans, before allowance for credit losses</w:t>
            </w:r>
          </w:p>
        </w:tc>
        <w:tc>
          <w:tcPr>
            <w:tcW w:w="98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0.28</w:t>
            </w: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6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0.22</w:t>
            </w: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78"/>
              <w:spacing w:after="0"/>
              <w:rPr>
                <w:sz w:val="20"/>
                <w:szCs w:val="20"/>
                <w:color w:val="auto"/>
              </w:rPr>
            </w:pPr>
            <w:r>
              <w:rPr>
                <w:rFonts w:ascii="Arial" w:cs="Arial" w:eastAsia="Arial" w:hAnsi="Arial"/>
                <w:sz w:val="8"/>
                <w:szCs w:val="8"/>
                <w:color w:val="auto"/>
              </w:rPr>
              <w:t>0.15</w:t>
            </w:r>
          </w:p>
        </w:tc>
      </w:tr>
      <w:tr>
        <w:trPr>
          <w:trHeight w:val="110"/>
        </w:trPr>
        <w:tc>
          <w:tcPr>
            <w:tcW w:w="6520" w:type="dxa"/>
            <w:vAlign w:val="bottom"/>
          </w:tcPr>
          <w:p>
            <w:pPr>
              <w:spacing w:after="0"/>
              <w:rPr>
                <w:sz w:val="20"/>
                <w:szCs w:val="20"/>
                <w:color w:val="auto"/>
              </w:rPr>
            </w:pPr>
            <w:r>
              <w:rPr>
                <w:rFonts w:ascii="Arial" w:cs="Arial" w:eastAsia="Arial" w:hAnsi="Arial"/>
                <w:sz w:val="8"/>
                <w:szCs w:val="8"/>
                <w:color w:val="auto"/>
              </w:rPr>
              <w:t>Nonperforming assets to total assets</w:t>
            </w:r>
          </w:p>
        </w:tc>
        <w:tc>
          <w:tcPr>
            <w:tcW w:w="980" w:type="dxa"/>
            <w:vAlign w:val="bottom"/>
          </w:tcPr>
          <w:p>
            <w:pPr>
              <w:spacing w:after="0"/>
              <w:rPr>
                <w:sz w:val="9"/>
                <w:szCs w:val="9"/>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0.21</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60" w:type="dxa"/>
            <w:vAlign w:val="bottom"/>
          </w:tcPr>
          <w:p>
            <w:pPr>
              <w:jc w:val="right"/>
              <w:ind w:right="78"/>
              <w:spacing w:after="0"/>
              <w:rPr>
                <w:sz w:val="20"/>
                <w:szCs w:val="20"/>
                <w:color w:val="auto"/>
              </w:rPr>
            </w:pPr>
            <w:r>
              <w:rPr>
                <w:rFonts w:ascii="Arial" w:cs="Arial" w:eastAsia="Arial" w:hAnsi="Arial"/>
                <w:sz w:val="8"/>
                <w:szCs w:val="8"/>
                <w:color w:val="auto"/>
              </w:rPr>
              <w:t>0.17</w:t>
            </w: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jc w:val="right"/>
              <w:ind w:right="78"/>
              <w:spacing w:after="0"/>
              <w:rPr>
                <w:sz w:val="20"/>
                <w:szCs w:val="20"/>
                <w:color w:val="auto"/>
              </w:rPr>
            </w:pPr>
            <w:r>
              <w:rPr>
                <w:rFonts w:ascii="Arial" w:cs="Arial" w:eastAsia="Arial" w:hAnsi="Arial"/>
                <w:sz w:val="8"/>
                <w:szCs w:val="8"/>
                <w:color w:val="auto"/>
              </w:rPr>
              <w:t>0.11</w:t>
            </w:r>
          </w:p>
        </w:tc>
      </w:tr>
    </w:tbl>
    <w:p>
      <w:pPr>
        <w:spacing w:after="0" w:line="56"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____________________________________</w:t>
      </w:r>
    </w:p>
    <w:p>
      <w:pPr>
        <w:spacing w:after="0" w:line="10" w:lineRule="exact"/>
        <w:rPr>
          <w:sz w:val="20"/>
          <w:szCs w:val="20"/>
          <w:color w:val="auto"/>
        </w:rPr>
      </w:pPr>
    </w:p>
    <w:p>
      <w:pPr>
        <w:ind w:left="208" w:hanging="208"/>
        <w:spacing w:after="0"/>
        <w:tabs>
          <w:tab w:leader="none" w:pos="208" w:val="left"/>
        </w:tabs>
        <w:numPr>
          <w:ilvl w:val="0"/>
          <w:numId w:val="5"/>
        </w:numPr>
        <w:rPr>
          <w:rFonts w:ascii="Arial" w:cs="Arial" w:eastAsia="Arial" w:hAnsi="Arial"/>
          <w:sz w:val="10"/>
          <w:szCs w:val="10"/>
          <w:color w:val="auto"/>
        </w:rPr>
      </w:pPr>
      <w:r>
        <w:rPr>
          <w:rFonts w:ascii="Arial" w:cs="Arial" w:eastAsia="Arial" w:hAnsi="Arial"/>
          <w:sz w:val="10"/>
          <w:szCs w:val="10"/>
          <w:color w:val="auto"/>
        </w:rPr>
        <w:t>Annualized measure.</w:t>
      </w:r>
    </w:p>
    <w:p>
      <w:pPr>
        <w:spacing w:after="0" w:line="2" w:lineRule="exact"/>
        <w:rPr>
          <w:sz w:val="20"/>
          <w:szCs w:val="20"/>
          <w:color w:val="auto"/>
        </w:rPr>
      </w:pPr>
    </w:p>
    <w:p>
      <w:pPr>
        <w:ind w:left="208" w:hanging="208"/>
        <w:spacing w:after="0"/>
        <w:tabs>
          <w:tab w:leader="none" w:pos="208" w:val="left"/>
        </w:tabs>
        <w:numPr>
          <w:ilvl w:val="0"/>
          <w:numId w:val="6"/>
        </w:numPr>
        <w:rPr>
          <w:rFonts w:ascii="Arial" w:cs="Arial" w:eastAsia="Arial" w:hAnsi="Arial"/>
          <w:sz w:val="10"/>
          <w:szCs w:val="10"/>
          <w:color w:val="auto"/>
        </w:rPr>
      </w:pPr>
      <w:r>
        <w:rPr>
          <w:rFonts w:ascii="Arial" w:cs="Arial" w:eastAsia="Arial" w:hAnsi="Arial"/>
          <w:sz w:val="10"/>
          <w:szCs w:val="10"/>
          <w:color w:val="auto"/>
        </w:rPr>
        <w:t>See “Reconciliation of Non-GAAP Financial Measures” below for reconciliation of non-GAAP financial measures to their most closely comparable GAAP financial measures.</w:t>
      </w:r>
    </w:p>
    <w:p>
      <w:pPr>
        <w:spacing w:after="0" w:line="2" w:lineRule="exact"/>
        <w:rPr>
          <w:rFonts w:ascii="Arial" w:cs="Arial" w:eastAsia="Arial" w:hAnsi="Arial"/>
          <w:sz w:val="10"/>
          <w:szCs w:val="10"/>
          <w:color w:val="auto"/>
        </w:rPr>
      </w:pPr>
    </w:p>
    <w:p>
      <w:pPr>
        <w:ind w:left="208" w:hanging="208"/>
        <w:spacing w:after="0"/>
        <w:tabs>
          <w:tab w:leader="none" w:pos="208" w:val="left"/>
        </w:tabs>
        <w:numPr>
          <w:ilvl w:val="0"/>
          <w:numId w:val="6"/>
        </w:numPr>
        <w:rPr>
          <w:rFonts w:ascii="Arial" w:cs="Arial" w:eastAsia="Arial" w:hAnsi="Arial"/>
          <w:sz w:val="10"/>
          <w:szCs w:val="10"/>
          <w:color w:val="auto"/>
        </w:rPr>
      </w:pPr>
      <w:r>
        <w:rPr>
          <w:rFonts w:ascii="Arial" w:cs="Arial" w:eastAsia="Arial" w:hAnsi="Arial"/>
          <w:sz w:val="10"/>
          <w:szCs w:val="10"/>
          <w:color w:val="auto"/>
        </w:rPr>
        <w:t>On a tax-equivalent basis assuming a federal income tax rate of 21% and a state tax rate of 9.5%.</w:t>
      </w:r>
    </w:p>
    <w:p>
      <w:pPr>
        <w:sectPr>
          <w:pgSz w:w="11900" w:h="16838" w:orient="portrait"/>
          <w:cols w:equalWidth="0" w:num="1">
            <w:col w:w="11308"/>
          </w:cols>
          <w:pgMar w:left="292" w:top="135" w:right="299" w:bottom="1440" w:gutter="0" w:footer="0" w:header="0"/>
        </w:sectPr>
      </w:pPr>
    </w:p>
    <w:bookmarkStart w:id="10" w:name="page11"/>
    <w:bookmarkEnd w:id="10"/>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8</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HBT Financial,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Unaudited Consolidated Financial Summary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Consolidated Statements of Income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668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8"/>
                <w:szCs w:val="8"/>
                <w:b w:val="1"/>
                <w:bCs w:val="1"/>
                <w:color w:val="auto"/>
              </w:rPr>
              <w:t>Three Months Ended</w:t>
            </w: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r>
      <w:tr>
        <w:trPr>
          <w:trHeight w:val="102"/>
        </w:trPr>
        <w:tc>
          <w:tcPr>
            <w:tcW w:w="6680" w:type="dxa"/>
            <w:vAlign w:val="bottom"/>
          </w:tcPr>
          <w:p>
            <w:pPr>
              <w:spacing w:after="0"/>
              <w:rPr>
                <w:sz w:val="8"/>
                <w:szCs w:val="8"/>
                <w:color w:val="auto"/>
              </w:rPr>
            </w:pPr>
          </w:p>
        </w:tc>
        <w:tc>
          <w:tcPr>
            <w:tcW w:w="1000" w:type="dxa"/>
            <w:vAlign w:val="bottom"/>
          </w:tcPr>
          <w:p>
            <w:pPr>
              <w:jc w:val="right"/>
              <w:ind w:right="18"/>
              <w:spacing w:after="0"/>
              <w:rPr>
                <w:sz w:val="20"/>
                <w:szCs w:val="20"/>
                <w:color w:val="auto"/>
              </w:rPr>
            </w:pPr>
            <w:r>
              <w:rPr>
                <w:rFonts w:ascii="Arial" w:cs="Arial" w:eastAsia="Arial" w:hAnsi="Arial"/>
                <w:sz w:val="8"/>
                <w:szCs w:val="8"/>
                <w:b w:val="1"/>
                <w:bCs w:val="1"/>
                <w:color w:val="auto"/>
              </w:rPr>
              <w:t>March 31,</w:t>
            </w: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8"/>
                <w:szCs w:val="8"/>
                <w:b w:val="1"/>
                <w:bCs w:val="1"/>
                <w:color w:val="auto"/>
              </w:rPr>
              <w:t>December 31,</w:t>
            </w:r>
          </w:p>
        </w:tc>
        <w:tc>
          <w:tcPr>
            <w:tcW w:w="300" w:type="dxa"/>
            <w:vAlign w:val="bottom"/>
          </w:tcPr>
          <w:p>
            <w:pPr>
              <w:spacing w:after="0"/>
              <w:rPr>
                <w:sz w:val="8"/>
                <w:szCs w:val="8"/>
                <w:color w:val="auto"/>
              </w:rPr>
            </w:pPr>
          </w:p>
        </w:tc>
        <w:tc>
          <w:tcPr>
            <w:tcW w:w="1180" w:type="dxa"/>
            <w:vAlign w:val="bottom"/>
          </w:tcPr>
          <w:p>
            <w:pPr>
              <w:jc w:val="right"/>
              <w:ind w:right="518"/>
              <w:spacing w:after="0"/>
              <w:rPr>
                <w:sz w:val="20"/>
                <w:szCs w:val="20"/>
                <w:color w:val="auto"/>
              </w:rPr>
            </w:pPr>
            <w:r>
              <w:rPr>
                <w:rFonts w:ascii="Arial" w:cs="Arial" w:eastAsia="Arial" w:hAnsi="Arial"/>
                <w:sz w:val="8"/>
                <w:szCs w:val="8"/>
                <w:b w:val="1"/>
                <w:bCs w:val="1"/>
                <w:color w:val="auto"/>
              </w:rPr>
              <w:t>March 31,</w:t>
            </w:r>
          </w:p>
        </w:tc>
      </w:tr>
      <w:tr>
        <w:trPr>
          <w:trHeight w:val="117"/>
        </w:trPr>
        <w:tc>
          <w:tcPr>
            <w:tcW w:w="6680" w:type="dxa"/>
            <w:vAlign w:val="bottom"/>
            <w:tcBorders>
              <w:bottom w:val="single" w:sz="8" w:color="CCEEFF"/>
            </w:tcBorders>
          </w:tcPr>
          <w:p>
            <w:pPr>
              <w:spacing w:after="0"/>
              <w:rPr>
                <w:sz w:val="20"/>
                <w:szCs w:val="20"/>
                <w:color w:val="auto"/>
              </w:rPr>
            </w:pPr>
            <w:r>
              <w:rPr>
                <w:rFonts w:ascii="Arial" w:cs="Arial" w:eastAsia="Arial" w:hAnsi="Arial"/>
                <w:sz w:val="8"/>
                <w:szCs w:val="8"/>
                <w:i w:val="1"/>
                <w:iCs w:val="1"/>
                <w:color w:val="auto"/>
              </w:rPr>
              <w:t>(dollars in thousands, except per share data)</w:t>
            </w:r>
          </w:p>
        </w:tc>
        <w:tc>
          <w:tcPr>
            <w:tcW w:w="1000" w:type="dxa"/>
            <w:vAlign w:val="bottom"/>
            <w:tcBorders>
              <w:bottom w:val="single" w:sz="8" w:color="auto"/>
            </w:tcBorders>
          </w:tcPr>
          <w:p>
            <w:pPr>
              <w:jc w:val="right"/>
              <w:ind w:right="118"/>
              <w:spacing w:after="0"/>
              <w:rPr>
                <w:sz w:val="20"/>
                <w:szCs w:val="20"/>
                <w:color w:val="auto"/>
              </w:rPr>
            </w:pPr>
            <w:r>
              <w:rPr>
                <w:rFonts w:ascii="Arial" w:cs="Arial" w:eastAsia="Arial" w:hAnsi="Arial"/>
                <w:sz w:val="8"/>
                <w:szCs w:val="8"/>
                <w:b w:val="1"/>
                <w:bCs w:val="1"/>
                <w:color w:val="auto"/>
              </w:rPr>
              <w:t>2026</w:t>
            </w:r>
          </w:p>
        </w:tc>
        <w:tc>
          <w:tcPr>
            <w:tcW w:w="480" w:type="dxa"/>
            <w:vAlign w:val="bottom"/>
            <w:tcBorders>
              <w:bottom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center"/>
              <w:ind w:right="138"/>
              <w:spacing w:after="0"/>
              <w:rPr>
                <w:sz w:val="20"/>
                <w:szCs w:val="20"/>
                <w:color w:val="auto"/>
              </w:rPr>
            </w:pPr>
            <w:r>
              <w:rPr>
                <w:rFonts w:ascii="Arial" w:cs="Arial" w:eastAsia="Arial" w:hAnsi="Arial"/>
                <w:sz w:val="8"/>
                <w:szCs w:val="8"/>
                <w:b w:val="1"/>
                <w:bCs w:val="1"/>
                <w:color w:val="auto"/>
              </w:rPr>
              <w:t>2025</w:t>
            </w: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618"/>
              <w:spacing w:after="0"/>
              <w:rPr>
                <w:sz w:val="20"/>
                <w:szCs w:val="20"/>
                <w:color w:val="auto"/>
              </w:rPr>
            </w:pPr>
            <w:r>
              <w:rPr>
                <w:rFonts w:ascii="Arial" w:cs="Arial" w:eastAsia="Arial" w:hAnsi="Arial"/>
                <w:sz w:val="8"/>
                <w:szCs w:val="8"/>
                <w:b w:val="1"/>
                <w:bCs w:val="1"/>
                <w:color w:val="auto"/>
              </w:rPr>
              <w:t>2025</w:t>
            </w:r>
          </w:p>
        </w:tc>
      </w:tr>
      <w:tr>
        <w:trPr>
          <w:trHeight w:val="118"/>
        </w:trPr>
        <w:tc>
          <w:tcPr>
            <w:tcW w:w="668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INTEREST AND DIVIDEND INCOME</w:t>
            </w:r>
          </w:p>
        </w:tc>
        <w:tc>
          <w:tcPr>
            <w:tcW w:w="10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r>
      <w:tr>
        <w:trPr>
          <w:trHeight w:val="126"/>
        </w:trPr>
        <w:tc>
          <w:tcPr>
            <w:tcW w:w="6680" w:type="dxa"/>
            <w:vAlign w:val="bottom"/>
          </w:tcPr>
          <w:p>
            <w:pPr>
              <w:ind w:left="60"/>
              <w:spacing w:after="0"/>
              <w:rPr>
                <w:sz w:val="20"/>
                <w:szCs w:val="20"/>
                <w:color w:val="auto"/>
              </w:rPr>
            </w:pPr>
            <w:r>
              <w:rPr>
                <w:rFonts w:ascii="Arial" w:cs="Arial" w:eastAsia="Arial" w:hAnsi="Arial"/>
                <w:sz w:val="8"/>
                <w:szCs w:val="8"/>
                <w:color w:val="auto"/>
              </w:rPr>
              <w:t>Loans, including fees:</w:t>
            </w:r>
          </w:p>
        </w:tc>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44"/>
        </w:trPr>
        <w:tc>
          <w:tcPr>
            <w:tcW w:w="6680" w:type="dxa"/>
            <w:vAlign w:val="bottom"/>
            <w:shd w:val="clear" w:color="auto" w:fill="CCEEFF"/>
          </w:tcPr>
          <w:p>
            <w:pPr>
              <w:ind w:left="120"/>
              <w:spacing w:after="0"/>
              <w:rPr>
                <w:sz w:val="20"/>
                <w:szCs w:val="20"/>
                <w:color w:val="auto"/>
              </w:rPr>
            </w:pPr>
            <w:r>
              <w:rPr>
                <w:rFonts w:ascii="Arial" w:cs="Arial" w:eastAsia="Arial" w:hAnsi="Arial"/>
                <w:sz w:val="8"/>
                <w:szCs w:val="8"/>
                <w:color w:val="auto"/>
              </w:rPr>
              <w:t>Taxable</w:t>
            </w:r>
          </w:p>
        </w:tc>
        <w:tc>
          <w:tcPr>
            <w:tcW w:w="1000" w:type="dxa"/>
            <w:vAlign w:val="bottom"/>
            <w:shd w:val="clear" w:color="auto" w:fill="CCEEFF"/>
          </w:tcPr>
          <w:p>
            <w:pPr>
              <w:jc w:val="right"/>
              <w:ind w:right="898"/>
              <w:spacing w:after="0"/>
              <w:rPr>
                <w:sz w:val="20"/>
                <w:szCs w:val="20"/>
                <w:color w:val="auto"/>
              </w:rPr>
            </w:pPr>
            <w:r>
              <w:rPr>
                <w:rFonts w:ascii="Arial" w:cs="Arial" w:eastAsia="Arial" w:hAnsi="Arial"/>
                <w:sz w:val="8"/>
                <w:szCs w:val="8"/>
                <w:color w:val="auto"/>
                <w:w w:val="88"/>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58,881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8"/>
                <w:szCs w:val="8"/>
                <w:color w:val="auto"/>
              </w:rPr>
              <w:t>52,600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234"/>
              <w:spacing w:after="0"/>
              <w:rPr>
                <w:sz w:val="20"/>
                <w:szCs w:val="20"/>
                <w:color w:val="auto"/>
              </w:rPr>
            </w:pPr>
            <w:r>
              <w:rPr>
                <w:rFonts w:ascii="Arial" w:cs="Arial" w:eastAsia="Arial" w:hAnsi="Arial"/>
                <w:sz w:val="5"/>
                <w:szCs w:val="5"/>
                <w:color w:val="auto"/>
                <w:w w:val="70"/>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8"/>
                <w:szCs w:val="8"/>
                <w:color w:val="auto"/>
              </w:rPr>
              <w:t>53,369</w:t>
            </w:r>
          </w:p>
        </w:tc>
      </w:tr>
      <w:tr>
        <w:trPr>
          <w:trHeight w:val="126"/>
        </w:trPr>
        <w:tc>
          <w:tcPr>
            <w:tcW w:w="6680" w:type="dxa"/>
            <w:vAlign w:val="bottom"/>
          </w:tcPr>
          <w:p>
            <w:pPr>
              <w:ind w:left="120"/>
              <w:spacing w:after="0"/>
              <w:rPr>
                <w:sz w:val="20"/>
                <w:szCs w:val="20"/>
                <w:color w:val="auto"/>
              </w:rPr>
            </w:pPr>
            <w:r>
              <w:rPr>
                <w:rFonts w:ascii="Arial" w:cs="Arial" w:eastAsia="Arial" w:hAnsi="Arial"/>
                <w:sz w:val="8"/>
                <w:szCs w:val="8"/>
                <w:color w:val="auto"/>
              </w:rPr>
              <w:t>Federally tax exempt</w:t>
            </w:r>
          </w:p>
        </w:tc>
        <w:tc>
          <w:tcPr>
            <w:tcW w:w="10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1,317</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Arial" w:cs="Arial" w:eastAsia="Arial" w:hAnsi="Arial"/>
                <w:sz w:val="8"/>
                <w:szCs w:val="8"/>
                <w:color w:val="auto"/>
              </w:rPr>
              <w:t>1,250</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8"/>
                <w:szCs w:val="8"/>
                <w:color w:val="auto"/>
              </w:rPr>
              <w:t>1,168</w:t>
            </w:r>
          </w:p>
        </w:tc>
      </w:tr>
      <w:tr>
        <w:trPr>
          <w:trHeight w:val="144"/>
        </w:trPr>
        <w:tc>
          <w:tcPr>
            <w:tcW w:w="6680" w:type="dxa"/>
            <w:vAlign w:val="bottom"/>
            <w:shd w:val="clear" w:color="auto" w:fill="CCEEFF"/>
          </w:tcPr>
          <w:p>
            <w:pPr>
              <w:ind w:left="60"/>
              <w:spacing w:after="0"/>
              <w:rPr>
                <w:sz w:val="20"/>
                <w:szCs w:val="20"/>
                <w:color w:val="auto"/>
              </w:rPr>
            </w:pPr>
            <w:r>
              <w:rPr>
                <w:rFonts w:ascii="Arial" w:cs="Arial" w:eastAsia="Arial" w:hAnsi="Arial"/>
                <w:sz w:val="8"/>
                <w:szCs w:val="8"/>
                <w:color w:val="auto"/>
              </w:rPr>
              <w:t>Debt securities:</w:t>
            </w: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26"/>
        </w:trPr>
        <w:tc>
          <w:tcPr>
            <w:tcW w:w="6680" w:type="dxa"/>
            <w:vAlign w:val="bottom"/>
          </w:tcPr>
          <w:p>
            <w:pPr>
              <w:ind w:left="120"/>
              <w:spacing w:after="0"/>
              <w:rPr>
                <w:sz w:val="20"/>
                <w:szCs w:val="20"/>
                <w:color w:val="auto"/>
              </w:rPr>
            </w:pPr>
            <w:r>
              <w:rPr>
                <w:rFonts w:ascii="Arial" w:cs="Arial" w:eastAsia="Arial" w:hAnsi="Arial"/>
                <w:sz w:val="8"/>
                <w:szCs w:val="8"/>
                <w:color w:val="auto"/>
              </w:rPr>
              <w:t>Taxable</w:t>
            </w:r>
          </w:p>
        </w:tc>
        <w:tc>
          <w:tcPr>
            <w:tcW w:w="10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9,544</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Arial" w:cs="Arial" w:eastAsia="Arial" w:hAnsi="Arial"/>
                <w:sz w:val="8"/>
                <w:szCs w:val="8"/>
                <w:color w:val="auto"/>
              </w:rPr>
              <w:t>8,385</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8"/>
                <w:szCs w:val="8"/>
                <w:color w:val="auto"/>
              </w:rPr>
              <w:t>6,936</w:t>
            </w:r>
          </w:p>
        </w:tc>
      </w:tr>
      <w:tr>
        <w:trPr>
          <w:trHeight w:val="144"/>
        </w:trPr>
        <w:tc>
          <w:tcPr>
            <w:tcW w:w="6680" w:type="dxa"/>
            <w:vAlign w:val="bottom"/>
            <w:shd w:val="clear" w:color="auto" w:fill="CCEEFF"/>
          </w:tcPr>
          <w:p>
            <w:pPr>
              <w:ind w:left="120"/>
              <w:spacing w:after="0"/>
              <w:rPr>
                <w:sz w:val="20"/>
                <w:szCs w:val="20"/>
                <w:color w:val="auto"/>
              </w:rPr>
            </w:pPr>
            <w:r>
              <w:rPr>
                <w:rFonts w:ascii="Arial" w:cs="Arial" w:eastAsia="Arial" w:hAnsi="Arial"/>
                <w:sz w:val="8"/>
                <w:szCs w:val="8"/>
                <w:color w:val="auto"/>
              </w:rPr>
              <w:t>Federally tax exempt</w:t>
            </w: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658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8"/>
                <w:szCs w:val="8"/>
                <w:color w:val="auto"/>
              </w:rPr>
              <w:t>454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8"/>
                <w:szCs w:val="8"/>
                <w:color w:val="auto"/>
              </w:rPr>
              <w:t>469</w:t>
            </w:r>
          </w:p>
        </w:tc>
      </w:tr>
      <w:tr>
        <w:trPr>
          <w:trHeight w:val="126"/>
        </w:trPr>
        <w:tc>
          <w:tcPr>
            <w:tcW w:w="6680" w:type="dxa"/>
            <w:vAlign w:val="bottom"/>
          </w:tcPr>
          <w:p>
            <w:pPr>
              <w:ind w:left="60"/>
              <w:spacing w:after="0"/>
              <w:rPr>
                <w:sz w:val="20"/>
                <w:szCs w:val="20"/>
                <w:color w:val="auto"/>
              </w:rPr>
            </w:pPr>
            <w:r>
              <w:rPr>
                <w:rFonts w:ascii="Arial" w:cs="Arial" w:eastAsia="Arial" w:hAnsi="Arial"/>
                <w:sz w:val="8"/>
                <w:szCs w:val="8"/>
                <w:color w:val="auto"/>
              </w:rPr>
              <w:t>Interest-bearing deposits in bank</w:t>
            </w:r>
          </w:p>
        </w:tc>
        <w:tc>
          <w:tcPr>
            <w:tcW w:w="10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1,276</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Arial" w:cs="Arial" w:eastAsia="Arial" w:hAnsi="Arial"/>
                <w:sz w:val="8"/>
                <w:szCs w:val="8"/>
                <w:color w:val="auto"/>
              </w:rPr>
              <w:t>1,543</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8"/>
                <w:szCs w:val="8"/>
                <w:color w:val="auto"/>
              </w:rPr>
              <w:t>1,065</w:t>
            </w:r>
          </w:p>
        </w:tc>
      </w:tr>
      <w:tr>
        <w:trPr>
          <w:trHeight w:val="144"/>
        </w:trPr>
        <w:tc>
          <w:tcPr>
            <w:tcW w:w="6680" w:type="dxa"/>
            <w:vAlign w:val="bottom"/>
            <w:shd w:val="clear" w:color="auto" w:fill="CCEEFF"/>
          </w:tcPr>
          <w:p>
            <w:pPr>
              <w:ind w:left="60"/>
              <w:spacing w:after="0"/>
              <w:rPr>
                <w:sz w:val="20"/>
                <w:szCs w:val="20"/>
                <w:color w:val="auto"/>
              </w:rPr>
            </w:pPr>
            <w:r>
              <w:rPr>
                <w:rFonts w:ascii="Arial" w:cs="Arial" w:eastAsia="Arial" w:hAnsi="Arial"/>
                <w:sz w:val="8"/>
                <w:szCs w:val="8"/>
                <w:color w:val="auto"/>
              </w:rPr>
              <w:t>Other interest and dividend income</w:t>
            </w:r>
          </w:p>
        </w:tc>
        <w:tc>
          <w:tcPr>
            <w:tcW w:w="10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163</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159</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131</w:t>
            </w:r>
          </w:p>
        </w:tc>
      </w:tr>
      <w:tr>
        <w:trPr>
          <w:trHeight w:val="117"/>
        </w:trPr>
        <w:tc>
          <w:tcPr>
            <w:tcW w:w="6680" w:type="dxa"/>
            <w:vAlign w:val="bottom"/>
          </w:tcPr>
          <w:p>
            <w:pPr>
              <w:ind w:left="280"/>
              <w:spacing w:after="0"/>
              <w:rPr>
                <w:sz w:val="20"/>
                <w:szCs w:val="20"/>
                <w:color w:val="auto"/>
              </w:rPr>
            </w:pPr>
            <w:r>
              <w:rPr>
                <w:rFonts w:ascii="Arial" w:cs="Arial" w:eastAsia="Arial" w:hAnsi="Arial"/>
                <w:sz w:val="8"/>
                <w:szCs w:val="8"/>
                <w:b w:val="1"/>
                <w:bCs w:val="1"/>
                <w:color w:val="auto"/>
              </w:rPr>
              <w:t>Total interest and dividend income</w:t>
            </w:r>
          </w:p>
        </w:tc>
        <w:tc>
          <w:tcPr>
            <w:tcW w:w="10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71,839</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Arial" w:cs="Arial" w:eastAsia="Arial" w:hAnsi="Arial"/>
                <w:sz w:val="8"/>
                <w:szCs w:val="8"/>
                <w:color w:val="auto"/>
              </w:rPr>
              <w:t>64,391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8"/>
                <w:szCs w:val="8"/>
                <w:color w:val="auto"/>
              </w:rPr>
              <w:t>63,138</w:t>
            </w:r>
          </w:p>
        </w:tc>
      </w:tr>
      <w:tr>
        <w:trPr>
          <w:trHeight w:val="143"/>
        </w:trPr>
        <w:tc>
          <w:tcPr>
            <w:tcW w:w="668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INTEREST EXPENSE</w:t>
            </w: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25"/>
        </w:trPr>
        <w:tc>
          <w:tcPr>
            <w:tcW w:w="6680" w:type="dxa"/>
            <w:vAlign w:val="bottom"/>
          </w:tcPr>
          <w:p>
            <w:pPr>
              <w:ind w:left="60"/>
              <w:spacing w:after="0"/>
              <w:rPr>
                <w:sz w:val="20"/>
                <w:szCs w:val="20"/>
                <w:color w:val="auto"/>
              </w:rPr>
            </w:pPr>
            <w:r>
              <w:rPr>
                <w:rFonts w:ascii="Arial" w:cs="Arial" w:eastAsia="Arial" w:hAnsi="Arial"/>
                <w:sz w:val="8"/>
                <w:szCs w:val="8"/>
                <w:color w:val="auto"/>
              </w:rPr>
              <w:t>Deposits</w:t>
            </w:r>
          </w:p>
        </w:tc>
        <w:tc>
          <w:tcPr>
            <w:tcW w:w="10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14,109</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Arial" w:cs="Arial" w:eastAsia="Arial" w:hAnsi="Arial"/>
                <w:sz w:val="8"/>
                <w:szCs w:val="8"/>
                <w:color w:val="auto"/>
              </w:rPr>
              <w:t>12,920</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8"/>
                <w:szCs w:val="8"/>
                <w:color w:val="auto"/>
              </w:rPr>
              <w:t>12,939</w:t>
            </w:r>
          </w:p>
        </w:tc>
      </w:tr>
      <w:tr>
        <w:trPr>
          <w:trHeight w:val="145"/>
        </w:trPr>
        <w:tc>
          <w:tcPr>
            <w:tcW w:w="6680" w:type="dxa"/>
            <w:vAlign w:val="bottom"/>
            <w:shd w:val="clear" w:color="auto" w:fill="CCEEFF"/>
          </w:tcPr>
          <w:p>
            <w:pPr>
              <w:ind w:left="60"/>
              <w:spacing w:after="0"/>
              <w:rPr>
                <w:sz w:val="20"/>
                <w:szCs w:val="20"/>
                <w:color w:val="auto"/>
              </w:rPr>
            </w:pPr>
            <w:r>
              <w:rPr>
                <w:rFonts w:ascii="Arial" w:cs="Arial" w:eastAsia="Arial" w:hAnsi="Arial"/>
                <w:sz w:val="8"/>
                <w:szCs w:val="8"/>
                <w:color w:val="auto"/>
              </w:rPr>
              <w:t>Securities sold under agreements to repurchase</w:t>
            </w: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16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8"/>
                <w:szCs w:val="8"/>
                <w:color w:val="auto"/>
              </w:rPr>
              <w:t>22</w:t>
            </w:r>
          </w:p>
        </w:tc>
      </w:tr>
      <w:tr>
        <w:trPr>
          <w:trHeight w:val="125"/>
        </w:trPr>
        <w:tc>
          <w:tcPr>
            <w:tcW w:w="6680" w:type="dxa"/>
            <w:vAlign w:val="bottom"/>
          </w:tcPr>
          <w:p>
            <w:pPr>
              <w:ind w:left="60"/>
              <w:spacing w:after="0"/>
              <w:rPr>
                <w:sz w:val="20"/>
                <w:szCs w:val="20"/>
                <w:color w:val="auto"/>
              </w:rPr>
            </w:pPr>
            <w:r>
              <w:rPr>
                <w:rFonts w:ascii="Arial" w:cs="Arial" w:eastAsia="Arial" w:hAnsi="Arial"/>
                <w:sz w:val="8"/>
                <w:szCs w:val="8"/>
                <w:color w:val="auto"/>
              </w:rPr>
              <w:t>Borrowings</w:t>
            </w:r>
          </w:p>
        </w:tc>
        <w:tc>
          <w:tcPr>
            <w:tcW w:w="10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209</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Arial" w:cs="Arial" w:eastAsia="Arial" w:hAnsi="Arial"/>
                <w:sz w:val="8"/>
                <w:szCs w:val="8"/>
                <w:color w:val="auto"/>
              </w:rPr>
              <w:t>33</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8"/>
                <w:szCs w:val="8"/>
                <w:color w:val="auto"/>
              </w:rPr>
              <w:t>109</w:t>
            </w:r>
          </w:p>
        </w:tc>
      </w:tr>
      <w:tr>
        <w:trPr>
          <w:trHeight w:val="144"/>
        </w:trPr>
        <w:tc>
          <w:tcPr>
            <w:tcW w:w="6680" w:type="dxa"/>
            <w:vAlign w:val="bottom"/>
            <w:shd w:val="clear" w:color="auto" w:fill="CCEEFF"/>
          </w:tcPr>
          <w:p>
            <w:pPr>
              <w:ind w:left="60"/>
              <w:spacing w:after="0"/>
              <w:rPr>
                <w:sz w:val="20"/>
                <w:szCs w:val="20"/>
                <w:color w:val="auto"/>
              </w:rPr>
            </w:pPr>
            <w:r>
              <w:rPr>
                <w:rFonts w:ascii="Arial" w:cs="Arial" w:eastAsia="Arial" w:hAnsi="Arial"/>
                <w:sz w:val="8"/>
                <w:szCs w:val="8"/>
                <w:color w:val="auto"/>
              </w:rPr>
              <w:t>Subordinated notes</w:t>
            </w: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278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8"/>
                <w:szCs w:val="8"/>
                <w:color w:val="auto"/>
              </w:rPr>
              <w:t>—</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8"/>
                <w:szCs w:val="8"/>
                <w:color w:val="auto"/>
              </w:rPr>
              <w:t>470</w:t>
            </w:r>
          </w:p>
        </w:tc>
      </w:tr>
      <w:tr>
        <w:trPr>
          <w:trHeight w:val="126"/>
        </w:trPr>
        <w:tc>
          <w:tcPr>
            <w:tcW w:w="6680" w:type="dxa"/>
            <w:vAlign w:val="bottom"/>
            <w:tcBorders>
              <w:bottom w:val="single" w:sz="8" w:color="CCEEFF"/>
            </w:tcBorders>
          </w:tcPr>
          <w:p>
            <w:pPr>
              <w:ind w:left="60"/>
              <w:spacing w:after="0"/>
              <w:rPr>
                <w:sz w:val="20"/>
                <w:szCs w:val="20"/>
                <w:color w:val="auto"/>
              </w:rPr>
            </w:pPr>
            <w:r>
              <w:rPr>
                <w:rFonts w:ascii="Arial" w:cs="Arial" w:eastAsia="Arial" w:hAnsi="Arial"/>
                <w:sz w:val="8"/>
                <w:szCs w:val="8"/>
                <w:color w:val="auto"/>
              </w:rPr>
              <w:t>Junior subordinated debentures issued to capital trusts</w:t>
            </w:r>
          </w:p>
        </w:tc>
        <w:tc>
          <w:tcPr>
            <w:tcW w:w="10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840</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895</w:t>
            </w: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890</w:t>
            </w:r>
          </w:p>
        </w:tc>
      </w:tr>
      <w:tr>
        <w:trPr>
          <w:trHeight w:val="133"/>
        </w:trPr>
        <w:tc>
          <w:tcPr>
            <w:tcW w:w="6680" w:type="dxa"/>
            <w:vAlign w:val="bottom"/>
            <w:shd w:val="clear" w:color="auto" w:fill="CCEEFF"/>
          </w:tcPr>
          <w:p>
            <w:pPr>
              <w:ind w:left="280"/>
              <w:spacing w:after="0"/>
              <w:rPr>
                <w:sz w:val="20"/>
                <w:szCs w:val="20"/>
                <w:color w:val="auto"/>
              </w:rPr>
            </w:pPr>
            <w:r>
              <w:rPr>
                <w:rFonts w:ascii="Arial" w:cs="Arial" w:eastAsia="Arial" w:hAnsi="Arial"/>
                <w:sz w:val="8"/>
                <w:szCs w:val="8"/>
                <w:b w:val="1"/>
                <w:bCs w:val="1"/>
                <w:color w:val="auto"/>
              </w:rPr>
              <w:t>Total interest expense</w:t>
            </w:r>
          </w:p>
        </w:tc>
        <w:tc>
          <w:tcPr>
            <w:tcW w:w="10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15,452</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13,848</w:t>
            </w:r>
          </w:p>
        </w:tc>
        <w:tc>
          <w:tcPr>
            <w:tcW w:w="10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14,430</w:t>
            </w:r>
          </w:p>
        </w:tc>
      </w:tr>
      <w:tr>
        <w:trPr>
          <w:trHeight w:val="117"/>
        </w:trPr>
        <w:tc>
          <w:tcPr>
            <w:tcW w:w="6680" w:type="dxa"/>
            <w:vAlign w:val="bottom"/>
          </w:tcPr>
          <w:p>
            <w:pPr>
              <w:ind w:left="280"/>
              <w:spacing w:after="0"/>
              <w:rPr>
                <w:sz w:val="20"/>
                <w:szCs w:val="20"/>
                <w:color w:val="auto"/>
              </w:rPr>
            </w:pPr>
            <w:r>
              <w:rPr>
                <w:rFonts w:ascii="Arial" w:cs="Arial" w:eastAsia="Arial" w:hAnsi="Arial"/>
                <w:sz w:val="8"/>
                <w:szCs w:val="8"/>
                <w:b w:val="1"/>
                <w:bCs w:val="1"/>
                <w:color w:val="auto"/>
              </w:rPr>
              <w:t>Net interest income</w:t>
            </w:r>
          </w:p>
        </w:tc>
        <w:tc>
          <w:tcPr>
            <w:tcW w:w="10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56,387</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Arial" w:cs="Arial" w:eastAsia="Arial" w:hAnsi="Arial"/>
                <w:sz w:val="8"/>
                <w:szCs w:val="8"/>
                <w:color w:val="auto"/>
              </w:rPr>
              <w:t>50,543</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8"/>
                <w:szCs w:val="8"/>
                <w:color w:val="auto"/>
              </w:rPr>
              <w:t>48,708</w:t>
            </w:r>
          </w:p>
        </w:tc>
      </w:tr>
      <w:tr>
        <w:trPr>
          <w:trHeight w:val="143"/>
        </w:trPr>
        <w:tc>
          <w:tcPr>
            <w:tcW w:w="668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PROVISION FOR CREDIT LOSSES</w:t>
            </w:r>
          </w:p>
        </w:tc>
        <w:tc>
          <w:tcPr>
            <w:tcW w:w="10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(156)</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1,463</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576</w:t>
            </w:r>
          </w:p>
        </w:tc>
      </w:tr>
      <w:tr>
        <w:trPr>
          <w:trHeight w:val="114"/>
        </w:trPr>
        <w:tc>
          <w:tcPr>
            <w:tcW w:w="6680" w:type="dxa"/>
            <w:vAlign w:val="bottom"/>
          </w:tcPr>
          <w:p>
            <w:pPr>
              <w:ind w:left="280"/>
              <w:spacing w:after="0"/>
              <w:rPr>
                <w:sz w:val="20"/>
                <w:szCs w:val="20"/>
                <w:color w:val="auto"/>
              </w:rPr>
            </w:pPr>
            <w:r>
              <w:rPr>
                <w:rFonts w:ascii="Arial" w:cs="Arial" w:eastAsia="Arial" w:hAnsi="Arial"/>
                <w:sz w:val="8"/>
                <w:szCs w:val="8"/>
                <w:b w:val="1"/>
                <w:bCs w:val="1"/>
                <w:color w:val="auto"/>
              </w:rPr>
              <w:t>Net interest income after provision for credit losses</w:t>
            </w:r>
          </w:p>
        </w:tc>
        <w:tc>
          <w:tcPr>
            <w:tcW w:w="1000" w:type="dxa"/>
            <w:vAlign w:val="bottom"/>
          </w:tcPr>
          <w:p>
            <w:pPr>
              <w:spacing w:after="0"/>
              <w:rPr>
                <w:sz w:val="9"/>
                <w:szCs w:val="9"/>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56,543</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jc w:val="right"/>
              <w:spacing w:after="0"/>
              <w:rPr>
                <w:sz w:val="20"/>
                <w:szCs w:val="20"/>
                <w:color w:val="auto"/>
              </w:rPr>
            </w:pPr>
            <w:r>
              <w:rPr>
                <w:rFonts w:ascii="Arial" w:cs="Arial" w:eastAsia="Arial" w:hAnsi="Arial"/>
                <w:sz w:val="8"/>
                <w:szCs w:val="8"/>
                <w:color w:val="auto"/>
              </w:rPr>
              <w:t>49,080</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jc w:val="right"/>
              <w:spacing w:after="0"/>
              <w:rPr>
                <w:sz w:val="20"/>
                <w:szCs w:val="20"/>
                <w:color w:val="auto"/>
              </w:rPr>
            </w:pPr>
            <w:r>
              <w:rPr>
                <w:rFonts w:ascii="Arial" w:cs="Arial" w:eastAsia="Arial" w:hAnsi="Arial"/>
                <w:sz w:val="8"/>
                <w:szCs w:val="8"/>
                <w:color w:val="auto"/>
              </w:rPr>
              <w:t>48,132</w:t>
            </w:r>
          </w:p>
        </w:tc>
      </w:tr>
      <w:tr>
        <w:trPr>
          <w:trHeight w:val="145"/>
        </w:trPr>
        <w:tc>
          <w:tcPr>
            <w:tcW w:w="668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NONINTEREST INCOME</w:t>
            </w: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25"/>
        </w:trPr>
        <w:tc>
          <w:tcPr>
            <w:tcW w:w="6680" w:type="dxa"/>
            <w:vAlign w:val="bottom"/>
          </w:tcPr>
          <w:p>
            <w:pPr>
              <w:ind w:left="60"/>
              <w:spacing w:after="0"/>
              <w:rPr>
                <w:sz w:val="20"/>
                <w:szCs w:val="20"/>
                <w:color w:val="auto"/>
              </w:rPr>
            </w:pPr>
            <w:r>
              <w:rPr>
                <w:rFonts w:ascii="Arial" w:cs="Arial" w:eastAsia="Arial" w:hAnsi="Arial"/>
                <w:sz w:val="8"/>
                <w:szCs w:val="8"/>
                <w:color w:val="auto"/>
              </w:rPr>
              <w:t>Card income</w:t>
            </w:r>
          </w:p>
        </w:tc>
        <w:tc>
          <w:tcPr>
            <w:tcW w:w="10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2,751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Arial" w:cs="Arial" w:eastAsia="Arial" w:hAnsi="Arial"/>
                <w:sz w:val="8"/>
                <w:szCs w:val="8"/>
                <w:color w:val="auto"/>
              </w:rPr>
              <w:t>2,708</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8"/>
                <w:szCs w:val="8"/>
                <w:color w:val="auto"/>
              </w:rPr>
              <w:t>2,548</w:t>
            </w:r>
          </w:p>
        </w:tc>
      </w:tr>
      <w:tr>
        <w:trPr>
          <w:trHeight w:val="145"/>
        </w:trPr>
        <w:tc>
          <w:tcPr>
            <w:tcW w:w="6680" w:type="dxa"/>
            <w:vAlign w:val="bottom"/>
            <w:shd w:val="clear" w:color="auto" w:fill="CCEEFF"/>
          </w:tcPr>
          <w:p>
            <w:pPr>
              <w:ind w:left="60"/>
              <w:spacing w:after="0"/>
              <w:rPr>
                <w:sz w:val="20"/>
                <w:szCs w:val="20"/>
                <w:color w:val="auto"/>
              </w:rPr>
            </w:pPr>
            <w:r>
              <w:rPr>
                <w:rFonts w:ascii="Arial" w:cs="Arial" w:eastAsia="Arial" w:hAnsi="Arial"/>
                <w:sz w:val="8"/>
                <w:szCs w:val="8"/>
                <w:color w:val="auto"/>
              </w:rPr>
              <w:t>Wealth management fees</w:t>
            </w: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3,764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8"/>
                <w:szCs w:val="8"/>
                <w:color w:val="auto"/>
              </w:rPr>
              <w:t>3,358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8"/>
                <w:szCs w:val="8"/>
                <w:color w:val="auto"/>
              </w:rPr>
              <w:t>2,841</w:t>
            </w:r>
          </w:p>
        </w:tc>
      </w:tr>
      <w:tr>
        <w:trPr>
          <w:trHeight w:val="125"/>
        </w:trPr>
        <w:tc>
          <w:tcPr>
            <w:tcW w:w="6680" w:type="dxa"/>
            <w:vAlign w:val="bottom"/>
          </w:tcPr>
          <w:p>
            <w:pPr>
              <w:ind w:left="60"/>
              <w:spacing w:after="0"/>
              <w:rPr>
                <w:sz w:val="20"/>
                <w:szCs w:val="20"/>
                <w:color w:val="auto"/>
              </w:rPr>
            </w:pPr>
            <w:r>
              <w:rPr>
                <w:rFonts w:ascii="Arial" w:cs="Arial" w:eastAsia="Arial" w:hAnsi="Arial"/>
                <w:sz w:val="8"/>
                <w:szCs w:val="8"/>
                <w:color w:val="auto"/>
              </w:rPr>
              <w:t>Service charges on deposit accounts</w:t>
            </w:r>
          </w:p>
        </w:tc>
        <w:tc>
          <w:tcPr>
            <w:tcW w:w="10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2,160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Arial" w:cs="Arial" w:eastAsia="Arial" w:hAnsi="Arial"/>
                <w:sz w:val="8"/>
                <w:szCs w:val="8"/>
                <w:color w:val="auto"/>
              </w:rPr>
              <w:t>2,088</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8"/>
                <w:szCs w:val="8"/>
                <w:color w:val="auto"/>
              </w:rPr>
              <w:t>1,944</w:t>
            </w:r>
          </w:p>
        </w:tc>
      </w:tr>
      <w:tr>
        <w:trPr>
          <w:trHeight w:val="145"/>
        </w:trPr>
        <w:tc>
          <w:tcPr>
            <w:tcW w:w="6680" w:type="dxa"/>
            <w:vAlign w:val="bottom"/>
            <w:shd w:val="clear" w:color="auto" w:fill="CCEEFF"/>
          </w:tcPr>
          <w:p>
            <w:pPr>
              <w:ind w:left="60"/>
              <w:spacing w:after="0"/>
              <w:rPr>
                <w:sz w:val="20"/>
                <w:szCs w:val="20"/>
                <w:color w:val="auto"/>
              </w:rPr>
            </w:pPr>
            <w:r>
              <w:rPr>
                <w:rFonts w:ascii="Arial" w:cs="Arial" w:eastAsia="Arial" w:hAnsi="Arial"/>
                <w:sz w:val="8"/>
                <w:szCs w:val="8"/>
                <w:color w:val="auto"/>
              </w:rPr>
              <w:t>Mortgage servicing</w:t>
            </w: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983</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8"/>
                <w:szCs w:val="8"/>
                <w:color w:val="auto"/>
              </w:rPr>
              <w:t>1,062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8"/>
                <w:szCs w:val="8"/>
                <w:color w:val="auto"/>
              </w:rPr>
              <w:t>990</w:t>
            </w:r>
          </w:p>
        </w:tc>
      </w:tr>
      <w:tr>
        <w:trPr>
          <w:trHeight w:val="125"/>
        </w:trPr>
        <w:tc>
          <w:tcPr>
            <w:tcW w:w="6680" w:type="dxa"/>
            <w:vAlign w:val="bottom"/>
          </w:tcPr>
          <w:p>
            <w:pPr>
              <w:ind w:left="60"/>
              <w:spacing w:after="0"/>
              <w:rPr>
                <w:sz w:val="20"/>
                <w:szCs w:val="20"/>
                <w:color w:val="auto"/>
              </w:rPr>
            </w:pPr>
            <w:r>
              <w:rPr>
                <w:rFonts w:ascii="Arial" w:cs="Arial" w:eastAsia="Arial" w:hAnsi="Arial"/>
                <w:sz w:val="8"/>
                <w:szCs w:val="8"/>
                <w:color w:val="auto"/>
              </w:rPr>
              <w:t>Mortgage servicing rights fair value adjustment</w:t>
            </w:r>
          </w:p>
        </w:tc>
        <w:tc>
          <w:tcPr>
            <w:tcW w:w="10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197</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Arial" w:cs="Arial" w:eastAsia="Arial" w:hAnsi="Arial"/>
                <w:sz w:val="8"/>
                <w:szCs w:val="8"/>
                <w:color w:val="auto"/>
              </w:rPr>
              <w:t>(310)</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8"/>
                <w:szCs w:val="8"/>
                <w:color w:val="auto"/>
              </w:rPr>
              <w:t>(308)</w:t>
            </w:r>
          </w:p>
        </w:tc>
      </w:tr>
      <w:tr>
        <w:trPr>
          <w:trHeight w:val="145"/>
        </w:trPr>
        <w:tc>
          <w:tcPr>
            <w:tcW w:w="6680" w:type="dxa"/>
            <w:vAlign w:val="bottom"/>
            <w:shd w:val="clear" w:color="auto" w:fill="CCEEFF"/>
          </w:tcPr>
          <w:p>
            <w:pPr>
              <w:ind w:left="60"/>
              <w:spacing w:after="0"/>
              <w:rPr>
                <w:sz w:val="20"/>
                <w:szCs w:val="20"/>
                <w:color w:val="auto"/>
              </w:rPr>
            </w:pPr>
            <w:r>
              <w:rPr>
                <w:rFonts w:ascii="Arial" w:cs="Arial" w:eastAsia="Arial" w:hAnsi="Arial"/>
                <w:sz w:val="8"/>
                <w:szCs w:val="8"/>
                <w:color w:val="auto"/>
              </w:rPr>
              <w:t>Gains on sale of mortgage loans</w:t>
            </w: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331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8"/>
                <w:szCs w:val="8"/>
                <w:color w:val="auto"/>
              </w:rPr>
              <w:t>376</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8"/>
                <w:szCs w:val="8"/>
                <w:color w:val="auto"/>
              </w:rPr>
              <w:t>252</w:t>
            </w:r>
          </w:p>
        </w:tc>
      </w:tr>
      <w:tr>
        <w:trPr>
          <w:trHeight w:val="125"/>
        </w:trPr>
        <w:tc>
          <w:tcPr>
            <w:tcW w:w="6680" w:type="dxa"/>
            <w:vAlign w:val="bottom"/>
          </w:tcPr>
          <w:p>
            <w:pPr>
              <w:ind w:left="60"/>
              <w:spacing w:after="0"/>
              <w:rPr>
                <w:sz w:val="20"/>
                <w:szCs w:val="20"/>
                <w:color w:val="auto"/>
              </w:rPr>
            </w:pPr>
            <w:r>
              <w:rPr>
                <w:rFonts w:ascii="Arial" w:cs="Arial" w:eastAsia="Arial" w:hAnsi="Arial"/>
                <w:sz w:val="8"/>
                <w:szCs w:val="8"/>
                <w:color w:val="auto"/>
              </w:rPr>
              <w:t>Realized gains (losses) on sales of securities</w:t>
            </w:r>
          </w:p>
        </w:tc>
        <w:tc>
          <w:tcPr>
            <w:tcW w:w="10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Arial" w:cs="Arial" w:eastAsia="Arial" w:hAnsi="Arial"/>
                <w:sz w:val="8"/>
                <w:szCs w:val="8"/>
                <w:color w:val="auto"/>
              </w:rPr>
              <w:t>(151)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8"/>
                <w:szCs w:val="8"/>
                <w:color w:val="auto"/>
              </w:rPr>
              <w:t>—</w:t>
            </w:r>
          </w:p>
        </w:tc>
      </w:tr>
      <w:tr>
        <w:trPr>
          <w:trHeight w:val="145"/>
        </w:trPr>
        <w:tc>
          <w:tcPr>
            <w:tcW w:w="6680" w:type="dxa"/>
            <w:vAlign w:val="bottom"/>
            <w:shd w:val="clear" w:color="auto" w:fill="CCEEFF"/>
          </w:tcPr>
          <w:p>
            <w:pPr>
              <w:ind w:left="60"/>
              <w:spacing w:after="0"/>
              <w:rPr>
                <w:sz w:val="20"/>
                <w:szCs w:val="20"/>
                <w:color w:val="auto"/>
              </w:rPr>
            </w:pPr>
            <w:r>
              <w:rPr>
                <w:rFonts w:ascii="Arial" w:cs="Arial" w:eastAsia="Arial" w:hAnsi="Arial"/>
                <w:sz w:val="8"/>
                <w:szCs w:val="8"/>
                <w:color w:val="auto"/>
              </w:rPr>
              <w:t>Unrealized gains (losses) on equity securities</w:t>
            </w: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(112)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8"/>
                <w:szCs w:val="8"/>
                <w:color w:val="auto"/>
              </w:rPr>
              <w:t>43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8"/>
                <w:szCs w:val="8"/>
                <w:color w:val="auto"/>
              </w:rPr>
              <w:t>8</w:t>
            </w:r>
          </w:p>
        </w:tc>
      </w:tr>
      <w:tr>
        <w:trPr>
          <w:trHeight w:val="125"/>
        </w:trPr>
        <w:tc>
          <w:tcPr>
            <w:tcW w:w="6680" w:type="dxa"/>
            <w:vAlign w:val="bottom"/>
          </w:tcPr>
          <w:p>
            <w:pPr>
              <w:ind w:left="60"/>
              <w:spacing w:after="0"/>
              <w:rPr>
                <w:sz w:val="20"/>
                <w:szCs w:val="20"/>
                <w:color w:val="auto"/>
              </w:rPr>
            </w:pPr>
            <w:r>
              <w:rPr>
                <w:rFonts w:ascii="Arial" w:cs="Arial" w:eastAsia="Arial" w:hAnsi="Arial"/>
                <w:sz w:val="8"/>
                <w:szCs w:val="8"/>
                <w:color w:val="auto"/>
              </w:rPr>
              <w:t>Gains (losses) on foreclosed assets</w:t>
            </w:r>
          </w:p>
        </w:tc>
        <w:tc>
          <w:tcPr>
            <w:tcW w:w="10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40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Arial" w:cs="Arial" w:eastAsia="Arial" w:hAnsi="Arial"/>
                <w:sz w:val="8"/>
                <w:szCs w:val="8"/>
                <w:color w:val="auto"/>
              </w:rPr>
              <w:t>(171)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8"/>
                <w:szCs w:val="8"/>
                <w:color w:val="auto"/>
              </w:rPr>
              <w:t>13</w:t>
            </w:r>
          </w:p>
        </w:tc>
      </w:tr>
      <w:tr>
        <w:trPr>
          <w:trHeight w:val="145"/>
        </w:trPr>
        <w:tc>
          <w:tcPr>
            <w:tcW w:w="6680" w:type="dxa"/>
            <w:vAlign w:val="bottom"/>
            <w:shd w:val="clear" w:color="auto" w:fill="CCEEFF"/>
          </w:tcPr>
          <w:p>
            <w:pPr>
              <w:ind w:left="60"/>
              <w:spacing w:after="0"/>
              <w:rPr>
                <w:sz w:val="20"/>
                <w:szCs w:val="20"/>
                <w:color w:val="auto"/>
              </w:rPr>
            </w:pPr>
            <w:r>
              <w:rPr>
                <w:rFonts w:ascii="Arial" w:cs="Arial" w:eastAsia="Arial" w:hAnsi="Arial"/>
                <w:sz w:val="8"/>
                <w:szCs w:val="8"/>
                <w:color w:val="auto"/>
              </w:rPr>
              <w:t>Gains (losses) on other assets</w:t>
            </w: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(210)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8"/>
                <w:szCs w:val="8"/>
                <w:color w:val="auto"/>
              </w:rPr>
              <w:t>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8"/>
                <w:szCs w:val="8"/>
                <w:color w:val="auto"/>
              </w:rPr>
              <w:t>54</w:t>
            </w:r>
          </w:p>
        </w:tc>
      </w:tr>
      <w:tr>
        <w:trPr>
          <w:trHeight w:val="125"/>
        </w:trPr>
        <w:tc>
          <w:tcPr>
            <w:tcW w:w="6680" w:type="dxa"/>
            <w:vAlign w:val="bottom"/>
          </w:tcPr>
          <w:p>
            <w:pPr>
              <w:ind w:left="60"/>
              <w:spacing w:after="0"/>
              <w:rPr>
                <w:sz w:val="20"/>
                <w:szCs w:val="20"/>
                <w:color w:val="auto"/>
              </w:rPr>
            </w:pPr>
            <w:r>
              <w:rPr>
                <w:rFonts w:ascii="Arial" w:cs="Arial" w:eastAsia="Arial" w:hAnsi="Arial"/>
                <w:sz w:val="8"/>
                <w:szCs w:val="8"/>
                <w:color w:val="auto"/>
              </w:rPr>
              <w:t>Income on bank owned life insurance</w:t>
            </w:r>
          </w:p>
        </w:tc>
        <w:tc>
          <w:tcPr>
            <w:tcW w:w="10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188</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Arial" w:cs="Arial" w:eastAsia="Arial" w:hAnsi="Arial"/>
                <w:sz w:val="8"/>
                <w:szCs w:val="8"/>
                <w:color w:val="auto"/>
              </w:rPr>
              <w:t>171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8"/>
                <w:szCs w:val="8"/>
                <w:color w:val="auto"/>
              </w:rPr>
              <w:t>164</w:t>
            </w:r>
          </w:p>
        </w:tc>
      </w:tr>
      <w:tr>
        <w:trPr>
          <w:trHeight w:val="145"/>
        </w:trPr>
        <w:tc>
          <w:tcPr>
            <w:tcW w:w="6680" w:type="dxa"/>
            <w:vAlign w:val="bottom"/>
            <w:shd w:val="clear" w:color="auto" w:fill="CCEEFF"/>
          </w:tcPr>
          <w:p>
            <w:pPr>
              <w:ind w:left="60"/>
              <w:spacing w:after="0"/>
              <w:rPr>
                <w:sz w:val="20"/>
                <w:szCs w:val="20"/>
                <w:color w:val="auto"/>
              </w:rPr>
            </w:pPr>
            <w:r>
              <w:rPr>
                <w:rFonts w:ascii="Arial" w:cs="Arial" w:eastAsia="Arial" w:hAnsi="Arial"/>
                <w:sz w:val="8"/>
                <w:szCs w:val="8"/>
                <w:color w:val="auto"/>
              </w:rPr>
              <w:t>Other noninterest income</w:t>
            </w:r>
          </w:p>
        </w:tc>
        <w:tc>
          <w:tcPr>
            <w:tcW w:w="10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852</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718</w:t>
            </w: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800</w:t>
            </w:r>
          </w:p>
        </w:tc>
      </w:tr>
      <w:tr>
        <w:trPr>
          <w:trHeight w:val="116"/>
        </w:trPr>
        <w:tc>
          <w:tcPr>
            <w:tcW w:w="6680" w:type="dxa"/>
            <w:vAlign w:val="bottom"/>
          </w:tcPr>
          <w:p>
            <w:pPr>
              <w:ind w:left="280"/>
              <w:spacing w:after="0"/>
              <w:rPr>
                <w:sz w:val="20"/>
                <w:szCs w:val="20"/>
                <w:color w:val="auto"/>
              </w:rPr>
            </w:pPr>
            <w:r>
              <w:rPr>
                <w:rFonts w:ascii="Arial" w:cs="Arial" w:eastAsia="Arial" w:hAnsi="Arial"/>
                <w:sz w:val="8"/>
                <w:szCs w:val="8"/>
                <w:b w:val="1"/>
                <w:bCs w:val="1"/>
                <w:color w:val="auto"/>
              </w:rPr>
              <w:t>Total noninterest income</w:t>
            </w:r>
          </w:p>
        </w:tc>
        <w:tc>
          <w:tcPr>
            <w:tcW w:w="10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10,944</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Arial" w:cs="Arial" w:eastAsia="Arial" w:hAnsi="Arial"/>
                <w:sz w:val="8"/>
                <w:szCs w:val="8"/>
                <w:color w:val="auto"/>
              </w:rPr>
              <w:t>9,895</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8"/>
                <w:szCs w:val="8"/>
                <w:color w:val="auto"/>
              </w:rPr>
              <w:t>9,306</w:t>
            </w:r>
          </w:p>
        </w:tc>
      </w:tr>
      <w:tr>
        <w:trPr>
          <w:trHeight w:val="143"/>
        </w:trPr>
        <w:tc>
          <w:tcPr>
            <w:tcW w:w="668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NONINTEREST EXPENSE</w:t>
            </w: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125"/>
        </w:trPr>
        <w:tc>
          <w:tcPr>
            <w:tcW w:w="6680" w:type="dxa"/>
            <w:vAlign w:val="bottom"/>
          </w:tcPr>
          <w:p>
            <w:pPr>
              <w:ind w:left="60"/>
              <w:spacing w:after="0"/>
              <w:rPr>
                <w:sz w:val="20"/>
                <w:szCs w:val="20"/>
                <w:color w:val="auto"/>
              </w:rPr>
            </w:pPr>
            <w:r>
              <w:rPr>
                <w:rFonts w:ascii="Arial" w:cs="Arial" w:eastAsia="Arial" w:hAnsi="Arial"/>
                <w:sz w:val="8"/>
                <w:szCs w:val="8"/>
                <w:color w:val="auto"/>
              </w:rPr>
              <w:t>Salaries</w:t>
            </w:r>
          </w:p>
        </w:tc>
        <w:tc>
          <w:tcPr>
            <w:tcW w:w="10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23,061</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Arial" w:cs="Arial" w:eastAsia="Arial" w:hAnsi="Arial"/>
                <w:sz w:val="8"/>
                <w:szCs w:val="8"/>
                <w:color w:val="auto"/>
              </w:rPr>
              <w:t>16,486</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8"/>
                <w:szCs w:val="8"/>
                <w:color w:val="auto"/>
              </w:rPr>
              <w:t>17,053</w:t>
            </w:r>
          </w:p>
        </w:tc>
      </w:tr>
      <w:tr>
        <w:trPr>
          <w:trHeight w:val="145"/>
        </w:trPr>
        <w:tc>
          <w:tcPr>
            <w:tcW w:w="6680" w:type="dxa"/>
            <w:vAlign w:val="bottom"/>
            <w:shd w:val="clear" w:color="auto" w:fill="CCEEFF"/>
          </w:tcPr>
          <w:p>
            <w:pPr>
              <w:ind w:left="60"/>
              <w:spacing w:after="0"/>
              <w:rPr>
                <w:sz w:val="20"/>
                <w:szCs w:val="20"/>
                <w:color w:val="auto"/>
              </w:rPr>
            </w:pPr>
            <w:r>
              <w:rPr>
                <w:rFonts w:ascii="Arial" w:cs="Arial" w:eastAsia="Arial" w:hAnsi="Arial"/>
                <w:sz w:val="8"/>
                <w:szCs w:val="8"/>
                <w:color w:val="auto"/>
              </w:rPr>
              <w:t>Employee benefits</w:t>
            </w: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3,920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8"/>
                <w:szCs w:val="8"/>
                <w:color w:val="auto"/>
              </w:rPr>
              <w:t>3,359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8"/>
                <w:szCs w:val="8"/>
                <w:color w:val="auto"/>
              </w:rPr>
              <w:t>3,285</w:t>
            </w:r>
          </w:p>
        </w:tc>
      </w:tr>
      <w:tr>
        <w:trPr>
          <w:trHeight w:val="125"/>
        </w:trPr>
        <w:tc>
          <w:tcPr>
            <w:tcW w:w="6680" w:type="dxa"/>
            <w:vAlign w:val="bottom"/>
          </w:tcPr>
          <w:p>
            <w:pPr>
              <w:ind w:left="60"/>
              <w:spacing w:after="0"/>
              <w:rPr>
                <w:sz w:val="20"/>
                <w:szCs w:val="20"/>
                <w:color w:val="auto"/>
              </w:rPr>
            </w:pPr>
            <w:r>
              <w:rPr>
                <w:rFonts w:ascii="Arial" w:cs="Arial" w:eastAsia="Arial" w:hAnsi="Arial"/>
                <w:sz w:val="8"/>
                <w:szCs w:val="8"/>
                <w:color w:val="auto"/>
              </w:rPr>
              <w:t>Occupancy of bank premises</w:t>
            </w:r>
          </w:p>
        </w:tc>
        <w:tc>
          <w:tcPr>
            <w:tcW w:w="10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3,124</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Arial" w:cs="Arial" w:eastAsia="Arial" w:hAnsi="Arial"/>
                <w:sz w:val="8"/>
                <w:szCs w:val="8"/>
                <w:color w:val="auto"/>
              </w:rPr>
              <w:t>2,791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8"/>
                <w:szCs w:val="8"/>
                <w:color w:val="auto"/>
              </w:rPr>
              <w:t>2,625</w:t>
            </w:r>
          </w:p>
        </w:tc>
      </w:tr>
      <w:tr>
        <w:trPr>
          <w:trHeight w:val="145"/>
        </w:trPr>
        <w:tc>
          <w:tcPr>
            <w:tcW w:w="6680" w:type="dxa"/>
            <w:vAlign w:val="bottom"/>
            <w:shd w:val="clear" w:color="auto" w:fill="CCEEFF"/>
          </w:tcPr>
          <w:p>
            <w:pPr>
              <w:ind w:left="60"/>
              <w:spacing w:after="0"/>
              <w:rPr>
                <w:sz w:val="20"/>
                <w:szCs w:val="20"/>
                <w:color w:val="auto"/>
              </w:rPr>
            </w:pPr>
            <w:r>
              <w:rPr>
                <w:rFonts w:ascii="Arial" w:cs="Arial" w:eastAsia="Arial" w:hAnsi="Arial"/>
                <w:sz w:val="8"/>
                <w:szCs w:val="8"/>
                <w:color w:val="auto"/>
              </w:rPr>
              <w:t>Furniture and equipment</w:t>
            </w: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608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8"/>
                <w:szCs w:val="8"/>
                <w:color w:val="auto"/>
              </w:rPr>
              <w:t>523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8"/>
                <w:szCs w:val="8"/>
                <w:color w:val="auto"/>
              </w:rPr>
              <w:t>445</w:t>
            </w:r>
          </w:p>
        </w:tc>
      </w:tr>
      <w:tr>
        <w:trPr>
          <w:trHeight w:val="125"/>
        </w:trPr>
        <w:tc>
          <w:tcPr>
            <w:tcW w:w="6680" w:type="dxa"/>
            <w:vAlign w:val="bottom"/>
          </w:tcPr>
          <w:p>
            <w:pPr>
              <w:ind w:left="60"/>
              <w:spacing w:after="0"/>
              <w:rPr>
                <w:sz w:val="20"/>
                <w:szCs w:val="20"/>
                <w:color w:val="auto"/>
              </w:rPr>
            </w:pPr>
            <w:r>
              <w:rPr>
                <w:rFonts w:ascii="Arial" w:cs="Arial" w:eastAsia="Arial" w:hAnsi="Arial"/>
                <w:sz w:val="8"/>
                <w:szCs w:val="8"/>
                <w:color w:val="auto"/>
              </w:rPr>
              <w:t>Data processing</w:t>
            </w:r>
          </w:p>
        </w:tc>
        <w:tc>
          <w:tcPr>
            <w:tcW w:w="10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11,794</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Arial" w:cs="Arial" w:eastAsia="Arial" w:hAnsi="Arial"/>
                <w:sz w:val="8"/>
                <w:szCs w:val="8"/>
                <w:color w:val="auto"/>
              </w:rPr>
              <w:t>3,571</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8"/>
                <w:szCs w:val="8"/>
                <w:color w:val="auto"/>
              </w:rPr>
              <w:t>2,717</w:t>
            </w:r>
          </w:p>
        </w:tc>
      </w:tr>
      <w:tr>
        <w:trPr>
          <w:trHeight w:val="145"/>
        </w:trPr>
        <w:tc>
          <w:tcPr>
            <w:tcW w:w="6680" w:type="dxa"/>
            <w:vAlign w:val="bottom"/>
            <w:shd w:val="clear" w:color="auto" w:fill="CCEEFF"/>
          </w:tcPr>
          <w:p>
            <w:pPr>
              <w:ind w:left="60"/>
              <w:spacing w:after="0"/>
              <w:rPr>
                <w:sz w:val="20"/>
                <w:szCs w:val="20"/>
                <w:color w:val="auto"/>
              </w:rPr>
            </w:pPr>
            <w:r>
              <w:rPr>
                <w:rFonts w:ascii="Arial" w:cs="Arial" w:eastAsia="Arial" w:hAnsi="Arial"/>
                <w:sz w:val="8"/>
                <w:szCs w:val="8"/>
                <w:color w:val="auto"/>
              </w:rPr>
              <w:t>Marketing and customer relations</w:t>
            </w: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1,144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8"/>
                <w:szCs w:val="8"/>
                <w:color w:val="auto"/>
              </w:rPr>
              <w:t>984</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8"/>
                <w:szCs w:val="8"/>
                <w:color w:val="auto"/>
              </w:rPr>
              <w:t>1,144</w:t>
            </w:r>
          </w:p>
        </w:tc>
      </w:tr>
      <w:tr>
        <w:trPr>
          <w:trHeight w:val="125"/>
        </w:trPr>
        <w:tc>
          <w:tcPr>
            <w:tcW w:w="6680" w:type="dxa"/>
            <w:vAlign w:val="bottom"/>
          </w:tcPr>
          <w:p>
            <w:pPr>
              <w:ind w:left="60"/>
              <w:spacing w:after="0"/>
              <w:rPr>
                <w:sz w:val="20"/>
                <w:szCs w:val="20"/>
                <w:color w:val="auto"/>
              </w:rPr>
            </w:pPr>
            <w:r>
              <w:rPr>
                <w:rFonts w:ascii="Arial" w:cs="Arial" w:eastAsia="Arial" w:hAnsi="Arial"/>
                <w:sz w:val="8"/>
                <w:szCs w:val="8"/>
                <w:color w:val="auto"/>
              </w:rPr>
              <w:t>Amortization of intangible assets</w:t>
            </w:r>
          </w:p>
        </w:tc>
        <w:tc>
          <w:tcPr>
            <w:tcW w:w="10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887</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Arial" w:cs="Arial" w:eastAsia="Arial" w:hAnsi="Arial"/>
                <w:sz w:val="8"/>
                <w:szCs w:val="8"/>
                <w:color w:val="auto"/>
              </w:rPr>
              <w:t>643</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8"/>
                <w:szCs w:val="8"/>
                <w:color w:val="auto"/>
              </w:rPr>
              <w:t>695</w:t>
            </w:r>
          </w:p>
        </w:tc>
      </w:tr>
      <w:tr>
        <w:trPr>
          <w:trHeight w:val="145"/>
        </w:trPr>
        <w:tc>
          <w:tcPr>
            <w:tcW w:w="6680" w:type="dxa"/>
            <w:vAlign w:val="bottom"/>
            <w:shd w:val="clear" w:color="auto" w:fill="CCEEFF"/>
          </w:tcPr>
          <w:p>
            <w:pPr>
              <w:ind w:left="60"/>
              <w:spacing w:after="0"/>
              <w:rPr>
                <w:sz w:val="20"/>
                <w:szCs w:val="20"/>
                <w:color w:val="auto"/>
              </w:rPr>
            </w:pPr>
            <w:r>
              <w:rPr>
                <w:rFonts w:ascii="Arial" w:cs="Arial" w:eastAsia="Arial" w:hAnsi="Arial"/>
                <w:sz w:val="8"/>
                <w:szCs w:val="8"/>
                <w:color w:val="auto"/>
              </w:rPr>
              <w:t>FDIC insurance</w:t>
            </w: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588</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8"/>
                <w:szCs w:val="8"/>
                <w:color w:val="auto"/>
              </w:rPr>
              <w:t>560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8"/>
                <w:szCs w:val="8"/>
                <w:color w:val="auto"/>
              </w:rPr>
              <w:t>562</w:t>
            </w:r>
          </w:p>
        </w:tc>
      </w:tr>
      <w:tr>
        <w:trPr>
          <w:trHeight w:val="125"/>
        </w:trPr>
        <w:tc>
          <w:tcPr>
            <w:tcW w:w="6680" w:type="dxa"/>
            <w:vAlign w:val="bottom"/>
          </w:tcPr>
          <w:p>
            <w:pPr>
              <w:ind w:left="60"/>
              <w:spacing w:after="0"/>
              <w:rPr>
                <w:sz w:val="20"/>
                <w:szCs w:val="20"/>
                <w:color w:val="auto"/>
              </w:rPr>
            </w:pPr>
            <w:r>
              <w:rPr>
                <w:rFonts w:ascii="Arial" w:cs="Arial" w:eastAsia="Arial" w:hAnsi="Arial"/>
                <w:sz w:val="8"/>
                <w:szCs w:val="8"/>
                <w:color w:val="auto"/>
              </w:rPr>
              <w:t>Loan collection and servicing</w:t>
            </w:r>
          </w:p>
        </w:tc>
        <w:tc>
          <w:tcPr>
            <w:tcW w:w="10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696</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Arial" w:cs="Arial" w:eastAsia="Arial" w:hAnsi="Arial"/>
                <w:sz w:val="8"/>
                <w:szCs w:val="8"/>
                <w:color w:val="auto"/>
              </w:rPr>
              <w:t>339</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8"/>
                <w:szCs w:val="8"/>
                <w:color w:val="auto"/>
              </w:rPr>
              <w:t>383</w:t>
            </w:r>
          </w:p>
        </w:tc>
      </w:tr>
      <w:tr>
        <w:trPr>
          <w:trHeight w:val="145"/>
        </w:trPr>
        <w:tc>
          <w:tcPr>
            <w:tcW w:w="6680" w:type="dxa"/>
            <w:vAlign w:val="bottom"/>
            <w:shd w:val="clear" w:color="auto" w:fill="CCEEFF"/>
          </w:tcPr>
          <w:p>
            <w:pPr>
              <w:ind w:left="60"/>
              <w:spacing w:after="0"/>
              <w:rPr>
                <w:sz w:val="20"/>
                <w:szCs w:val="20"/>
                <w:color w:val="auto"/>
              </w:rPr>
            </w:pPr>
            <w:r>
              <w:rPr>
                <w:rFonts w:ascii="Arial" w:cs="Arial" w:eastAsia="Arial" w:hAnsi="Arial"/>
                <w:sz w:val="8"/>
                <w:szCs w:val="8"/>
                <w:color w:val="auto"/>
              </w:rPr>
              <w:t>Foreclosed assets</w:t>
            </w:r>
          </w:p>
        </w:tc>
        <w:tc>
          <w:tcPr>
            <w:tcW w:w="10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8"/>
                <w:szCs w:val="8"/>
                <w:color w:val="auto"/>
              </w:rPr>
              <w:t>60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8"/>
                <w:szCs w:val="8"/>
                <w:color w:val="auto"/>
              </w:rPr>
              <w:t>35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8"/>
                <w:szCs w:val="8"/>
                <w:color w:val="auto"/>
              </w:rPr>
              <w:t>5</w:t>
            </w:r>
          </w:p>
        </w:tc>
      </w:tr>
      <w:tr>
        <w:trPr>
          <w:trHeight w:val="125"/>
        </w:trPr>
        <w:tc>
          <w:tcPr>
            <w:tcW w:w="6680" w:type="dxa"/>
            <w:vAlign w:val="bottom"/>
            <w:tcBorders>
              <w:bottom w:val="single" w:sz="8" w:color="CCEEFF"/>
            </w:tcBorders>
          </w:tcPr>
          <w:p>
            <w:pPr>
              <w:ind w:left="60"/>
              <w:spacing w:after="0"/>
              <w:rPr>
                <w:sz w:val="20"/>
                <w:szCs w:val="20"/>
                <w:color w:val="auto"/>
              </w:rPr>
            </w:pPr>
            <w:r>
              <w:rPr>
                <w:rFonts w:ascii="Arial" w:cs="Arial" w:eastAsia="Arial" w:hAnsi="Arial"/>
                <w:sz w:val="8"/>
                <w:szCs w:val="8"/>
                <w:color w:val="auto"/>
              </w:rPr>
              <w:t>Other noninterest expense</w:t>
            </w:r>
          </w:p>
        </w:tc>
        <w:tc>
          <w:tcPr>
            <w:tcW w:w="10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6,555</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3,770</w:t>
            </w:r>
          </w:p>
        </w:tc>
        <w:tc>
          <w:tcPr>
            <w:tcW w:w="10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3,021</w:t>
            </w:r>
          </w:p>
        </w:tc>
      </w:tr>
      <w:tr>
        <w:trPr>
          <w:trHeight w:val="133"/>
        </w:trPr>
        <w:tc>
          <w:tcPr>
            <w:tcW w:w="6680" w:type="dxa"/>
            <w:vAlign w:val="bottom"/>
            <w:shd w:val="clear" w:color="auto" w:fill="CCEEFF"/>
          </w:tcPr>
          <w:p>
            <w:pPr>
              <w:ind w:left="280"/>
              <w:spacing w:after="0"/>
              <w:rPr>
                <w:sz w:val="20"/>
                <w:szCs w:val="20"/>
                <w:color w:val="auto"/>
              </w:rPr>
            </w:pPr>
            <w:r>
              <w:rPr>
                <w:rFonts w:ascii="Arial" w:cs="Arial" w:eastAsia="Arial" w:hAnsi="Arial"/>
                <w:sz w:val="8"/>
                <w:szCs w:val="8"/>
                <w:b w:val="1"/>
                <w:bCs w:val="1"/>
                <w:color w:val="auto"/>
              </w:rPr>
              <w:t>Total noninterest expense</w:t>
            </w:r>
          </w:p>
        </w:tc>
        <w:tc>
          <w:tcPr>
            <w:tcW w:w="10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52,437</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33,061</w:t>
            </w:r>
          </w:p>
        </w:tc>
        <w:tc>
          <w:tcPr>
            <w:tcW w:w="10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31,935</w:t>
            </w:r>
          </w:p>
        </w:tc>
      </w:tr>
      <w:tr>
        <w:trPr>
          <w:trHeight w:val="117"/>
        </w:trPr>
        <w:tc>
          <w:tcPr>
            <w:tcW w:w="6680" w:type="dxa"/>
            <w:vAlign w:val="bottom"/>
          </w:tcPr>
          <w:p>
            <w:pPr>
              <w:spacing w:after="0"/>
              <w:rPr>
                <w:sz w:val="20"/>
                <w:szCs w:val="20"/>
                <w:color w:val="auto"/>
              </w:rPr>
            </w:pPr>
            <w:r>
              <w:rPr>
                <w:rFonts w:ascii="Arial" w:cs="Arial" w:eastAsia="Arial" w:hAnsi="Arial"/>
                <w:sz w:val="8"/>
                <w:szCs w:val="8"/>
                <w:b w:val="1"/>
                <w:bCs w:val="1"/>
                <w:color w:val="auto"/>
              </w:rPr>
              <w:t>INCOME BEFORE INCOME TAX EXPENSE</w:t>
            </w:r>
          </w:p>
        </w:tc>
        <w:tc>
          <w:tcPr>
            <w:tcW w:w="1000" w:type="dxa"/>
            <w:vAlign w:val="bottom"/>
          </w:tcPr>
          <w:p>
            <w:pPr>
              <w:spacing w:after="0"/>
              <w:rPr>
                <w:sz w:val="10"/>
                <w:szCs w:val="10"/>
                <w:color w:val="auto"/>
              </w:rPr>
            </w:pPr>
          </w:p>
        </w:tc>
        <w:tc>
          <w:tcPr>
            <w:tcW w:w="480" w:type="dxa"/>
            <w:vAlign w:val="bottom"/>
          </w:tcPr>
          <w:p>
            <w:pPr>
              <w:jc w:val="right"/>
              <w:spacing w:after="0"/>
              <w:rPr>
                <w:sz w:val="20"/>
                <w:szCs w:val="20"/>
                <w:color w:val="auto"/>
              </w:rPr>
            </w:pPr>
            <w:r>
              <w:rPr>
                <w:rFonts w:ascii="Arial" w:cs="Arial" w:eastAsia="Arial" w:hAnsi="Arial"/>
                <w:sz w:val="8"/>
                <w:szCs w:val="8"/>
                <w:color w:val="auto"/>
              </w:rPr>
              <w:t>15,050</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jc w:val="right"/>
              <w:spacing w:after="0"/>
              <w:rPr>
                <w:sz w:val="20"/>
                <w:szCs w:val="20"/>
                <w:color w:val="auto"/>
              </w:rPr>
            </w:pPr>
            <w:r>
              <w:rPr>
                <w:rFonts w:ascii="Arial" w:cs="Arial" w:eastAsia="Arial" w:hAnsi="Arial"/>
                <w:sz w:val="8"/>
                <w:szCs w:val="8"/>
                <w:color w:val="auto"/>
              </w:rPr>
              <w:t>25,914</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right"/>
              <w:spacing w:after="0"/>
              <w:rPr>
                <w:sz w:val="20"/>
                <w:szCs w:val="20"/>
                <w:color w:val="auto"/>
              </w:rPr>
            </w:pPr>
            <w:r>
              <w:rPr>
                <w:rFonts w:ascii="Arial" w:cs="Arial" w:eastAsia="Arial" w:hAnsi="Arial"/>
                <w:sz w:val="8"/>
                <w:szCs w:val="8"/>
                <w:color w:val="auto"/>
              </w:rPr>
              <w:t>25,503</w:t>
            </w:r>
          </w:p>
        </w:tc>
      </w:tr>
      <w:tr>
        <w:trPr>
          <w:trHeight w:val="135"/>
        </w:trPr>
        <w:tc>
          <w:tcPr>
            <w:tcW w:w="6680" w:type="dxa"/>
            <w:vAlign w:val="bottom"/>
            <w:shd w:val="clear" w:color="auto" w:fill="CCEEFF"/>
          </w:tcPr>
          <w:p>
            <w:pPr>
              <w:spacing w:after="0"/>
              <w:rPr>
                <w:sz w:val="20"/>
                <w:szCs w:val="20"/>
                <w:color w:val="auto"/>
              </w:rPr>
            </w:pPr>
            <w:r>
              <w:rPr>
                <w:rFonts w:ascii="Arial" w:cs="Arial" w:eastAsia="Arial" w:hAnsi="Arial"/>
                <w:sz w:val="8"/>
                <w:szCs w:val="8"/>
                <w:b w:val="1"/>
                <w:bCs w:val="1"/>
                <w:color w:val="auto"/>
              </w:rPr>
              <w:t>INCOME TAX EXPENSE</w:t>
            </w:r>
          </w:p>
        </w:tc>
        <w:tc>
          <w:tcPr>
            <w:tcW w:w="100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3,850</w:t>
            </w:r>
          </w:p>
        </w:tc>
        <w:tc>
          <w:tcPr>
            <w:tcW w:w="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6,976</w:t>
            </w:r>
          </w:p>
        </w:tc>
        <w:tc>
          <w:tcPr>
            <w:tcW w:w="10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6,428</w:t>
            </w:r>
          </w:p>
        </w:tc>
      </w:tr>
      <w:tr>
        <w:trPr>
          <w:trHeight w:val="148"/>
        </w:trPr>
        <w:tc>
          <w:tcPr>
            <w:tcW w:w="6680" w:type="dxa"/>
            <w:vAlign w:val="bottom"/>
            <w:tcBorders>
              <w:bottom w:val="single" w:sz="8" w:color="CCEEFF"/>
            </w:tcBorders>
          </w:tcPr>
          <w:p>
            <w:pPr>
              <w:spacing w:after="0"/>
              <w:rPr>
                <w:sz w:val="20"/>
                <w:szCs w:val="20"/>
                <w:color w:val="auto"/>
              </w:rPr>
            </w:pPr>
            <w:r>
              <w:rPr>
                <w:rFonts w:ascii="Arial" w:cs="Arial" w:eastAsia="Arial" w:hAnsi="Arial"/>
                <w:sz w:val="8"/>
                <w:szCs w:val="8"/>
                <w:b w:val="1"/>
                <w:bCs w:val="1"/>
                <w:color w:val="auto"/>
              </w:rPr>
              <w:t>NET INCOME</w:t>
            </w:r>
          </w:p>
        </w:tc>
        <w:tc>
          <w:tcPr>
            <w:tcW w:w="1000" w:type="dxa"/>
            <w:vAlign w:val="bottom"/>
            <w:tcBorders>
              <w:bottom w:val="single" w:sz="8" w:color="auto"/>
            </w:tcBorders>
          </w:tcPr>
          <w:p>
            <w:pPr>
              <w:jc w:val="right"/>
              <w:ind w:right="898"/>
              <w:spacing w:after="0"/>
              <w:rPr>
                <w:sz w:val="20"/>
                <w:szCs w:val="20"/>
                <w:color w:val="auto"/>
              </w:rPr>
            </w:pPr>
            <w:r>
              <w:rPr>
                <w:rFonts w:ascii="Arial" w:cs="Arial" w:eastAsia="Arial" w:hAnsi="Arial"/>
                <w:sz w:val="8"/>
                <w:szCs w:val="8"/>
                <w:color w:val="auto"/>
                <w:w w:val="88"/>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11,200</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color w:val="auto"/>
                <w:w w:val="88"/>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18,938</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234"/>
              <w:spacing w:after="0"/>
              <w:rPr>
                <w:sz w:val="20"/>
                <w:szCs w:val="20"/>
                <w:color w:val="auto"/>
              </w:rPr>
            </w:pPr>
            <w:r>
              <w:rPr>
                <w:rFonts w:ascii="Arial" w:cs="Arial" w:eastAsia="Arial" w:hAnsi="Arial"/>
                <w:sz w:val="5"/>
                <w:szCs w:val="5"/>
                <w:color w:val="auto"/>
                <w:w w:val="70"/>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19,075</w:t>
            </w:r>
          </w:p>
        </w:tc>
      </w:tr>
      <w:tr>
        <w:trPr>
          <w:trHeight w:val="81"/>
        </w:trPr>
        <w:tc>
          <w:tcPr>
            <w:tcW w:w="66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2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r>
      <w:tr>
        <w:trPr>
          <w:trHeight w:val="151"/>
        </w:trPr>
        <w:tc>
          <w:tcPr>
            <w:tcW w:w="6680" w:type="dxa"/>
            <w:vAlign w:val="bottom"/>
            <w:tcBorders>
              <w:bottom w:val="single" w:sz="8" w:color="CCEEFF"/>
            </w:tcBorders>
          </w:tcPr>
          <w:p>
            <w:pPr>
              <w:spacing w:after="0"/>
              <w:rPr>
                <w:sz w:val="20"/>
                <w:szCs w:val="20"/>
                <w:color w:val="auto"/>
              </w:rPr>
            </w:pPr>
            <w:r>
              <w:rPr>
                <w:rFonts w:ascii="Arial" w:cs="Arial" w:eastAsia="Arial" w:hAnsi="Arial"/>
                <w:sz w:val="8"/>
                <w:szCs w:val="8"/>
                <w:b w:val="1"/>
                <w:bCs w:val="1"/>
                <w:color w:val="auto"/>
              </w:rPr>
              <w:t>EARNINGS PER SHARE - BASIC</w:t>
            </w:r>
          </w:p>
        </w:tc>
        <w:tc>
          <w:tcPr>
            <w:tcW w:w="1000" w:type="dxa"/>
            <w:vAlign w:val="bottom"/>
            <w:tcBorders>
              <w:bottom w:val="single" w:sz="8" w:color="auto"/>
            </w:tcBorders>
          </w:tcPr>
          <w:p>
            <w:pPr>
              <w:jc w:val="right"/>
              <w:ind w:right="898"/>
              <w:spacing w:after="0"/>
              <w:rPr>
                <w:sz w:val="20"/>
                <w:szCs w:val="20"/>
                <w:color w:val="auto"/>
              </w:rPr>
            </w:pPr>
            <w:r>
              <w:rPr>
                <w:rFonts w:ascii="Arial" w:cs="Arial" w:eastAsia="Arial" w:hAnsi="Arial"/>
                <w:sz w:val="8"/>
                <w:szCs w:val="8"/>
                <w:color w:val="auto"/>
                <w:w w:val="88"/>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0.34</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jc w:val="right"/>
              <w:ind w:right="98"/>
              <w:spacing w:after="0"/>
              <w:rPr>
                <w:sz w:val="20"/>
                <w:szCs w:val="20"/>
                <w:color w:val="auto"/>
              </w:rPr>
            </w:pPr>
            <w:r>
              <w:rPr>
                <w:rFonts w:ascii="Arial" w:cs="Arial" w:eastAsia="Arial" w:hAnsi="Arial"/>
                <w:sz w:val="8"/>
                <w:szCs w:val="8"/>
                <w:color w:val="auto"/>
                <w:w w:val="88"/>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0.60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ind w:right="234"/>
              <w:spacing w:after="0"/>
              <w:rPr>
                <w:sz w:val="20"/>
                <w:szCs w:val="20"/>
                <w:color w:val="auto"/>
              </w:rPr>
            </w:pPr>
            <w:r>
              <w:rPr>
                <w:rFonts w:ascii="Arial" w:cs="Arial" w:eastAsia="Arial" w:hAnsi="Arial"/>
                <w:sz w:val="5"/>
                <w:szCs w:val="5"/>
                <w:color w:val="auto"/>
                <w:w w:val="70"/>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0.60</w:t>
            </w:r>
          </w:p>
        </w:tc>
      </w:tr>
      <w:tr>
        <w:trPr>
          <w:trHeight w:val="155"/>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8"/>
                <w:szCs w:val="8"/>
                <w:b w:val="1"/>
                <w:bCs w:val="1"/>
                <w:color w:val="auto"/>
              </w:rPr>
              <w:t>EARNINGS PER SHARE - DILUTED</w:t>
            </w:r>
          </w:p>
        </w:tc>
        <w:tc>
          <w:tcPr>
            <w:tcW w:w="1000" w:type="dxa"/>
            <w:vAlign w:val="bottom"/>
            <w:tcBorders>
              <w:bottom w:val="single" w:sz="8" w:color="auto"/>
            </w:tcBorders>
            <w:shd w:val="clear" w:color="auto" w:fill="CCEEFF"/>
          </w:tcPr>
          <w:p>
            <w:pPr>
              <w:jc w:val="right"/>
              <w:ind w:right="898"/>
              <w:spacing w:after="0"/>
              <w:rPr>
                <w:sz w:val="20"/>
                <w:szCs w:val="20"/>
                <w:color w:val="auto"/>
              </w:rPr>
            </w:pPr>
            <w:r>
              <w:rPr>
                <w:rFonts w:ascii="Arial" w:cs="Arial" w:eastAsia="Arial" w:hAnsi="Arial"/>
                <w:sz w:val="8"/>
                <w:szCs w:val="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0.34</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8"/>
                <w:szCs w:val="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0.60</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5"/>
                <w:szCs w:val="5"/>
                <w:color w:val="auto"/>
                <w:w w:val="70"/>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8"/>
                <w:szCs w:val="8"/>
                <w:color w:val="auto"/>
              </w:rPr>
              <w:t>0.60</w:t>
            </w:r>
          </w:p>
        </w:tc>
      </w:tr>
      <w:tr>
        <w:trPr>
          <w:trHeight w:val="121"/>
        </w:trPr>
        <w:tc>
          <w:tcPr>
            <w:tcW w:w="6680" w:type="dxa"/>
            <w:vAlign w:val="bottom"/>
          </w:tcPr>
          <w:p>
            <w:pPr>
              <w:spacing w:after="0"/>
              <w:rPr>
                <w:sz w:val="20"/>
                <w:szCs w:val="20"/>
                <w:color w:val="auto"/>
              </w:rPr>
            </w:pPr>
            <w:r>
              <w:rPr>
                <w:rFonts w:ascii="Arial" w:cs="Arial" w:eastAsia="Arial" w:hAnsi="Arial"/>
                <w:sz w:val="8"/>
                <w:szCs w:val="8"/>
                <w:b w:val="1"/>
                <w:bCs w:val="1"/>
                <w:color w:val="auto"/>
              </w:rPr>
              <w:t>WEIGHTED AVERAGE SHARES OF COMMON STOCK OUTSTANDING</w:t>
            </w:r>
          </w:p>
        </w:tc>
        <w:tc>
          <w:tcPr>
            <w:tcW w:w="10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33,180,009</w:t>
            </w:r>
          </w:p>
        </w:tc>
        <w:tc>
          <w:tcPr>
            <w:tcW w:w="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31,434,409</w:t>
            </w:r>
          </w:p>
        </w:tc>
        <w:tc>
          <w:tcPr>
            <w:tcW w:w="1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rPr>
              <w:t>31,584,989</w:t>
            </w:r>
          </w:p>
        </w:tc>
      </w:tr>
      <w:tr>
        <w:trPr>
          <w:trHeight w:val="20"/>
        </w:trPr>
        <w:tc>
          <w:tcPr>
            <w:tcW w:w="6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00"/>
          </w:cols>
          <w:pgMar w:left="300" w:top="135" w:right="299" w:bottom="1440" w:gutter="0" w:footer="0" w:header="0"/>
        </w:sectPr>
      </w:pPr>
    </w:p>
    <w:bookmarkStart w:id="11" w:name="page12"/>
    <w:bookmarkEnd w:id="11"/>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9</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HBT Financial,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Unaudited Consolidated Financial Summary</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Consolidated Balance Sheets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668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300" w:type="dxa"/>
            <w:vAlign w:val="bottom"/>
          </w:tcPr>
          <w:p>
            <w:pPr>
              <w:spacing w:after="0"/>
              <w:rPr>
                <w:sz w:val="10"/>
                <w:szCs w:val="10"/>
                <w:color w:val="auto"/>
              </w:rPr>
            </w:pPr>
          </w:p>
        </w:tc>
        <w:tc>
          <w:tcPr>
            <w:tcW w:w="1260" w:type="dxa"/>
            <w:vAlign w:val="bottom"/>
            <w:gridSpan w:val="2"/>
          </w:tcPr>
          <w:p>
            <w:pPr>
              <w:ind w:left="220"/>
              <w:spacing w:after="0"/>
              <w:rPr>
                <w:sz w:val="20"/>
                <w:szCs w:val="20"/>
                <w:color w:val="auto"/>
              </w:rPr>
            </w:pPr>
            <w:r>
              <w:rPr>
                <w:rFonts w:ascii="Arial" w:cs="Arial" w:eastAsia="Arial" w:hAnsi="Arial"/>
                <w:sz w:val="10"/>
                <w:szCs w:val="10"/>
                <w:b w:val="1"/>
                <w:bCs w:val="1"/>
                <w:color w:val="auto"/>
              </w:rPr>
              <w:t>March 31,</w:t>
            </w:r>
          </w:p>
        </w:tc>
        <w:tc>
          <w:tcPr>
            <w:tcW w:w="260" w:type="dxa"/>
            <w:vAlign w:val="bottom"/>
          </w:tcPr>
          <w:p>
            <w:pPr>
              <w:spacing w:after="0"/>
              <w:rPr>
                <w:sz w:val="10"/>
                <w:szCs w:val="10"/>
                <w:color w:val="auto"/>
              </w:rPr>
            </w:pPr>
          </w:p>
        </w:tc>
        <w:tc>
          <w:tcPr>
            <w:tcW w:w="1320" w:type="dxa"/>
            <w:vAlign w:val="bottom"/>
            <w:gridSpan w:val="2"/>
          </w:tcPr>
          <w:p>
            <w:pPr>
              <w:ind w:left="180"/>
              <w:spacing w:after="0"/>
              <w:rPr>
                <w:sz w:val="20"/>
                <w:szCs w:val="20"/>
                <w:color w:val="auto"/>
              </w:rPr>
            </w:pPr>
            <w:r>
              <w:rPr>
                <w:rFonts w:ascii="Arial" w:cs="Arial" w:eastAsia="Arial" w:hAnsi="Arial"/>
                <w:sz w:val="10"/>
                <w:szCs w:val="10"/>
                <w:b w:val="1"/>
                <w:bCs w:val="1"/>
                <w:color w:val="auto"/>
              </w:rPr>
              <w:t>December 31,</w:t>
            </w:r>
          </w:p>
        </w:tc>
        <w:tc>
          <w:tcPr>
            <w:tcW w:w="280" w:type="dxa"/>
            <w:vAlign w:val="bottom"/>
          </w:tcPr>
          <w:p>
            <w:pPr>
              <w:spacing w:after="0"/>
              <w:rPr>
                <w:sz w:val="10"/>
                <w:szCs w:val="10"/>
                <w:color w:val="auto"/>
              </w:rPr>
            </w:pPr>
          </w:p>
        </w:tc>
        <w:tc>
          <w:tcPr>
            <w:tcW w:w="1200" w:type="dxa"/>
            <w:vAlign w:val="bottom"/>
          </w:tcPr>
          <w:p>
            <w:pPr>
              <w:jc w:val="right"/>
              <w:ind w:right="472"/>
              <w:spacing w:after="0"/>
              <w:rPr>
                <w:sz w:val="20"/>
                <w:szCs w:val="20"/>
                <w:color w:val="auto"/>
              </w:rPr>
            </w:pPr>
            <w:r>
              <w:rPr>
                <w:rFonts w:ascii="Arial" w:cs="Arial" w:eastAsia="Arial" w:hAnsi="Arial"/>
                <w:sz w:val="10"/>
                <w:szCs w:val="10"/>
                <w:b w:val="1"/>
                <w:bCs w:val="1"/>
                <w:color w:val="auto"/>
              </w:rPr>
              <w:t>March 31,</w:t>
            </w:r>
          </w:p>
        </w:tc>
        <w:tc>
          <w:tcPr>
            <w:tcW w:w="0" w:type="dxa"/>
            <w:vAlign w:val="bottom"/>
          </w:tcPr>
          <w:p>
            <w:pPr>
              <w:spacing w:after="0"/>
              <w:rPr>
                <w:sz w:val="1"/>
                <w:szCs w:val="1"/>
                <w:color w:val="auto"/>
              </w:rPr>
            </w:pPr>
          </w:p>
        </w:tc>
      </w:tr>
      <w:tr>
        <w:trPr>
          <w:trHeight w:val="124"/>
        </w:trPr>
        <w:tc>
          <w:tcPr>
            <w:tcW w:w="6680" w:type="dxa"/>
            <w:vAlign w:val="bottom"/>
            <w:tcBorders>
              <w:bottom w:val="single" w:sz="8" w:color="CCEEFF"/>
            </w:tcBorders>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b w:val="1"/>
                <w:bCs w:val="1"/>
                <w:color w:val="auto"/>
              </w:rPr>
              <w:t>2025</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24"/>
        </w:trPr>
        <w:tc>
          <w:tcPr>
            <w:tcW w:w="66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ASSETS</w:t>
            </w:r>
          </w:p>
        </w:tc>
        <w:tc>
          <w:tcPr>
            <w:tcW w:w="3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Cash and due from banks</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0"/>
                <w:szCs w:val="10"/>
                <w:color w:val="auto"/>
              </w:rPr>
              <w:t>37,371</w:t>
            </w:r>
          </w:p>
        </w:tc>
        <w:tc>
          <w:tcPr>
            <w:tcW w:w="80" w:type="dxa"/>
            <w:vAlign w:val="bottom"/>
          </w:tcPr>
          <w:p>
            <w:pPr>
              <w:spacing w:after="0"/>
              <w:rPr>
                <w:sz w:val="12"/>
                <w:szCs w:val="12"/>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24,423</w:t>
            </w:r>
          </w:p>
        </w:tc>
        <w:tc>
          <w:tcPr>
            <w:tcW w:w="100" w:type="dxa"/>
            <w:vAlign w:val="bottom"/>
          </w:tcPr>
          <w:p>
            <w:pPr>
              <w:spacing w:after="0"/>
              <w:rPr>
                <w:sz w:val="12"/>
                <w:szCs w:val="12"/>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25,005</w:t>
            </w:r>
          </w:p>
        </w:tc>
        <w:tc>
          <w:tcPr>
            <w:tcW w:w="0" w:type="dxa"/>
            <w:vAlign w:val="bottom"/>
          </w:tcPr>
          <w:p>
            <w:pPr>
              <w:spacing w:after="0"/>
              <w:rPr>
                <w:sz w:val="1"/>
                <w:szCs w:val="1"/>
                <w:color w:val="auto"/>
              </w:rPr>
            </w:pPr>
          </w:p>
        </w:tc>
      </w:tr>
      <w:tr>
        <w:trPr>
          <w:trHeight w:val="144"/>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Interest-bearing deposits with banks</w:t>
            </w:r>
          </w:p>
        </w:tc>
        <w:tc>
          <w:tcPr>
            <w:tcW w:w="3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250,282</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97,846</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186,586</w:t>
            </w:r>
          </w:p>
        </w:tc>
        <w:tc>
          <w:tcPr>
            <w:tcW w:w="0" w:type="dxa"/>
            <w:vAlign w:val="bottom"/>
          </w:tcPr>
          <w:p>
            <w:pPr>
              <w:spacing w:after="0"/>
              <w:rPr>
                <w:sz w:val="1"/>
                <w:szCs w:val="1"/>
                <w:color w:val="auto"/>
              </w:rPr>
            </w:pPr>
          </w:p>
        </w:tc>
      </w:tr>
      <w:tr>
        <w:trPr>
          <w:trHeight w:val="133"/>
        </w:trPr>
        <w:tc>
          <w:tcPr>
            <w:tcW w:w="6680" w:type="dxa"/>
            <w:vAlign w:val="bottom"/>
          </w:tcPr>
          <w:p>
            <w:pPr>
              <w:ind w:left="120"/>
              <w:spacing w:after="0"/>
              <w:rPr>
                <w:sz w:val="20"/>
                <w:szCs w:val="20"/>
                <w:color w:val="auto"/>
              </w:rPr>
            </w:pPr>
            <w:r>
              <w:rPr>
                <w:rFonts w:ascii="Arial" w:cs="Arial" w:eastAsia="Arial" w:hAnsi="Arial"/>
                <w:sz w:val="10"/>
                <w:szCs w:val="10"/>
                <w:color w:val="auto"/>
              </w:rPr>
              <w:t>Cash and cash equivalents</w:t>
            </w: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287,653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122,269</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211,591</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Interest-bearing time deposits with banks</w:t>
            </w: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245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Debt securities available-for-sale, at fair value</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1,025,992</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813,101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706,135</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Debt securities held-to-maturity</w:t>
            </w: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453,850</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458,746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490,398</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Equity securities with readily determinable fair value</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3,355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3,322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3,323</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Equity securities with no readily determinable fair value</w:t>
            </w: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6,395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2,612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2,629</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Restricted stock, at cost</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6,000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4,979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5,086</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Loans held for sale</w:t>
            </w: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3,247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1,263</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2,721</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Loans, before allowance for credit losses</w:t>
            </w: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4,686,951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3,456,209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3,461,778</w:t>
            </w:r>
          </w:p>
        </w:tc>
        <w:tc>
          <w:tcPr>
            <w:tcW w:w="0" w:type="dxa"/>
            <w:vAlign w:val="bottom"/>
          </w:tcPr>
          <w:p>
            <w:pPr>
              <w:spacing w:after="0"/>
              <w:rPr>
                <w:sz w:val="1"/>
                <w:szCs w:val="1"/>
                <w:color w:val="auto"/>
              </w:rPr>
            </w:pPr>
          </w:p>
        </w:tc>
      </w:tr>
      <w:tr>
        <w:trPr>
          <w:trHeight w:val="144"/>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Allowance for credit losses</w:t>
            </w:r>
          </w:p>
        </w:tc>
        <w:tc>
          <w:tcPr>
            <w:tcW w:w="3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(60,474)</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(41,690)</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(42,111)</w:t>
            </w:r>
          </w:p>
        </w:tc>
        <w:tc>
          <w:tcPr>
            <w:tcW w:w="0" w:type="dxa"/>
            <w:vAlign w:val="bottom"/>
          </w:tcPr>
          <w:p>
            <w:pPr>
              <w:spacing w:after="0"/>
              <w:rPr>
                <w:sz w:val="1"/>
                <w:szCs w:val="1"/>
                <w:color w:val="auto"/>
              </w:rPr>
            </w:pPr>
          </w:p>
        </w:tc>
      </w:tr>
      <w:tr>
        <w:trPr>
          <w:trHeight w:val="133"/>
        </w:trPr>
        <w:tc>
          <w:tcPr>
            <w:tcW w:w="6680" w:type="dxa"/>
            <w:vAlign w:val="bottom"/>
          </w:tcPr>
          <w:p>
            <w:pPr>
              <w:ind w:left="60"/>
              <w:spacing w:after="0"/>
              <w:rPr>
                <w:sz w:val="20"/>
                <w:szCs w:val="20"/>
                <w:color w:val="auto"/>
              </w:rPr>
            </w:pPr>
            <w:r>
              <w:rPr>
                <w:rFonts w:ascii="Arial" w:cs="Arial" w:eastAsia="Arial" w:hAnsi="Arial"/>
                <w:sz w:val="10"/>
                <w:szCs w:val="10"/>
                <w:color w:val="auto"/>
              </w:rPr>
              <w:t>Loans, net of allowance for credit losses</w:t>
            </w: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4,626,477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3,414,519</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3,419,667</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Bank owned life insurance</w:t>
            </w: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37,677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24,660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24,153</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Bank premises and equipment, net</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90,973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73,642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67,272</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Bank premises held for sale</w:t>
            </w: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337</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190</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Foreclosed assets</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1,149</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1,126</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460</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Goodwill</w:t>
            </w: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83,504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59,820</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59,820</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Intangible assets, net</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44,313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15,117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17,148</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Intangible assets held for sale</w:t>
            </w: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649</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Mortgage servicing rights, at fair value</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20,090</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16,944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18,519</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Investments in unconsolidated subsidiaries</w:t>
            </w: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1,614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1,614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1,614</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Accrued interest receivable</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35,313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23,779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22,735</w:t>
            </w:r>
          </w:p>
        </w:tc>
        <w:tc>
          <w:tcPr>
            <w:tcW w:w="0" w:type="dxa"/>
            <w:vAlign w:val="bottom"/>
          </w:tcPr>
          <w:p>
            <w:pPr>
              <w:spacing w:after="0"/>
              <w:rPr>
                <w:sz w:val="1"/>
                <w:szCs w:val="1"/>
                <w:color w:val="auto"/>
              </w:rPr>
            </w:pPr>
          </w:p>
        </w:tc>
      </w:tr>
      <w:tr>
        <w:trPr>
          <w:trHeight w:val="141"/>
        </w:trPr>
        <w:tc>
          <w:tcPr>
            <w:tcW w:w="668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Other assets</w:t>
            </w: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44,891</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33,877</w:t>
            </w:r>
          </w:p>
        </w:tc>
        <w:tc>
          <w:tcPr>
            <w:tcW w:w="1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38,731</w:t>
            </w:r>
          </w:p>
        </w:tc>
        <w:tc>
          <w:tcPr>
            <w:tcW w:w="0" w:type="dxa"/>
            <w:vAlign w:val="bottom"/>
          </w:tcPr>
          <w:p>
            <w:pPr>
              <w:spacing w:after="0"/>
              <w:rPr>
                <w:sz w:val="1"/>
                <w:szCs w:val="1"/>
                <w:color w:val="auto"/>
              </w:rPr>
            </w:pPr>
          </w:p>
        </w:tc>
      </w:tr>
      <w:tr>
        <w:trPr>
          <w:trHeight w:val="152"/>
        </w:trPr>
        <w:tc>
          <w:tcPr>
            <w:tcW w:w="6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b w:val="1"/>
                <w:bCs w:val="1"/>
                <w:color w:val="auto"/>
              </w:rPr>
              <w:t>Total assets</w:t>
            </w: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6,773,724</w:t>
            </w:r>
          </w:p>
        </w:tc>
        <w:tc>
          <w:tcPr>
            <w:tcW w:w="8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5,071,390</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5,092,192</w:t>
            </w:r>
          </w:p>
        </w:tc>
        <w:tc>
          <w:tcPr>
            <w:tcW w:w="0" w:type="dxa"/>
            <w:vAlign w:val="bottom"/>
          </w:tcPr>
          <w:p>
            <w:pPr>
              <w:spacing w:after="0"/>
              <w:rPr>
                <w:sz w:val="1"/>
                <w:szCs w:val="1"/>
                <w:color w:val="auto"/>
              </w:rPr>
            </w:pPr>
          </w:p>
        </w:tc>
      </w:tr>
      <w:tr>
        <w:trPr>
          <w:trHeight w:val="126"/>
        </w:trPr>
        <w:tc>
          <w:tcPr>
            <w:tcW w:w="6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6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LIABILITIES AND STOCKHOLDERS' EQUITY</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680" w:type="dxa"/>
            <w:vAlign w:val="bottom"/>
          </w:tcPr>
          <w:p>
            <w:pPr>
              <w:spacing w:after="0"/>
              <w:rPr>
                <w:sz w:val="20"/>
                <w:szCs w:val="20"/>
                <w:color w:val="auto"/>
              </w:rPr>
            </w:pPr>
            <w:r>
              <w:rPr>
                <w:rFonts w:ascii="Arial" w:cs="Arial" w:eastAsia="Arial" w:hAnsi="Arial"/>
                <w:sz w:val="10"/>
                <w:szCs w:val="10"/>
                <w:b w:val="1"/>
                <w:bCs w:val="1"/>
                <w:color w:val="auto"/>
              </w:rPr>
              <w:t>Liabilities</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Deposits:</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680" w:type="dxa"/>
            <w:vAlign w:val="bottom"/>
          </w:tcPr>
          <w:p>
            <w:pPr>
              <w:ind w:left="120"/>
              <w:spacing w:after="0"/>
              <w:rPr>
                <w:sz w:val="20"/>
                <w:szCs w:val="20"/>
                <w:color w:val="auto"/>
              </w:rPr>
            </w:pPr>
            <w:r>
              <w:rPr>
                <w:rFonts w:ascii="Arial" w:cs="Arial" w:eastAsia="Arial" w:hAnsi="Arial"/>
                <w:sz w:val="10"/>
                <w:szCs w:val="10"/>
                <w:color w:val="auto"/>
              </w:rPr>
              <w:t>Noninterest-bearing</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0"/>
                <w:szCs w:val="10"/>
                <w:color w:val="auto"/>
              </w:rPr>
              <w:t>1,342,192</w:t>
            </w:r>
          </w:p>
        </w:tc>
        <w:tc>
          <w:tcPr>
            <w:tcW w:w="80" w:type="dxa"/>
            <w:vAlign w:val="bottom"/>
          </w:tcPr>
          <w:p>
            <w:pPr>
              <w:spacing w:after="0"/>
              <w:rPr>
                <w:sz w:val="12"/>
                <w:szCs w:val="12"/>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1,049,043</w:t>
            </w:r>
          </w:p>
        </w:tc>
        <w:tc>
          <w:tcPr>
            <w:tcW w:w="100" w:type="dxa"/>
            <w:vAlign w:val="bottom"/>
          </w:tcPr>
          <w:p>
            <w:pPr>
              <w:spacing w:after="0"/>
              <w:rPr>
                <w:sz w:val="12"/>
                <w:szCs w:val="12"/>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1,065,874</w:t>
            </w:r>
          </w:p>
        </w:tc>
        <w:tc>
          <w:tcPr>
            <w:tcW w:w="0" w:type="dxa"/>
            <w:vAlign w:val="bottom"/>
          </w:tcPr>
          <w:p>
            <w:pPr>
              <w:spacing w:after="0"/>
              <w:rPr>
                <w:sz w:val="1"/>
                <w:szCs w:val="1"/>
                <w:color w:val="auto"/>
              </w:rPr>
            </w:pPr>
          </w:p>
        </w:tc>
      </w:tr>
      <w:tr>
        <w:trPr>
          <w:trHeight w:val="144"/>
        </w:trPr>
        <w:tc>
          <w:tcPr>
            <w:tcW w:w="66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Interest-bearing</w:t>
            </w:r>
          </w:p>
        </w:tc>
        <w:tc>
          <w:tcPr>
            <w:tcW w:w="3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4,461,256</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3,310,220</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3,318,716</w:t>
            </w:r>
          </w:p>
        </w:tc>
        <w:tc>
          <w:tcPr>
            <w:tcW w:w="0" w:type="dxa"/>
            <w:vAlign w:val="bottom"/>
          </w:tcPr>
          <w:p>
            <w:pPr>
              <w:spacing w:after="0"/>
              <w:rPr>
                <w:sz w:val="1"/>
                <w:szCs w:val="1"/>
                <w:color w:val="auto"/>
              </w:rPr>
            </w:pPr>
          </w:p>
        </w:tc>
      </w:tr>
      <w:tr>
        <w:trPr>
          <w:trHeight w:val="133"/>
        </w:trPr>
        <w:tc>
          <w:tcPr>
            <w:tcW w:w="6680" w:type="dxa"/>
            <w:vAlign w:val="bottom"/>
          </w:tcPr>
          <w:p>
            <w:pPr>
              <w:ind w:left="160"/>
              <w:spacing w:after="0"/>
              <w:rPr>
                <w:sz w:val="20"/>
                <w:szCs w:val="20"/>
                <w:color w:val="auto"/>
              </w:rPr>
            </w:pPr>
            <w:r>
              <w:rPr>
                <w:rFonts w:ascii="Arial" w:cs="Arial" w:eastAsia="Arial" w:hAnsi="Arial"/>
                <w:sz w:val="10"/>
                <w:szCs w:val="10"/>
                <w:color w:val="auto"/>
              </w:rPr>
              <w:t>Total deposits</w:t>
            </w: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5,803,448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4,359,263</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4,384,590</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Securities sold under agreements to repurchase</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5,046</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2,698</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Federal Home Loan Bank advances</w:t>
            </w: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12,332</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12,301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7,209</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Subordinated notes</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84,003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39,573</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Junior subordinated debentures issued to capital trusts</w:t>
            </w: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52,924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52,909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52,864</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Other liabilities</w:t>
            </w:r>
          </w:p>
        </w:tc>
        <w:tc>
          <w:tcPr>
            <w:tcW w:w="3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68,566</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31,419</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40,201</w:t>
            </w:r>
          </w:p>
        </w:tc>
        <w:tc>
          <w:tcPr>
            <w:tcW w:w="0" w:type="dxa"/>
            <w:vAlign w:val="bottom"/>
          </w:tcPr>
          <w:p>
            <w:pPr>
              <w:spacing w:after="0"/>
              <w:rPr>
                <w:sz w:val="1"/>
                <w:szCs w:val="1"/>
                <w:color w:val="auto"/>
              </w:rPr>
            </w:pPr>
          </w:p>
        </w:tc>
      </w:tr>
      <w:tr>
        <w:trPr>
          <w:trHeight w:val="132"/>
        </w:trPr>
        <w:tc>
          <w:tcPr>
            <w:tcW w:w="6680" w:type="dxa"/>
            <w:vAlign w:val="bottom"/>
          </w:tcPr>
          <w:p>
            <w:pPr>
              <w:ind w:left="220"/>
              <w:spacing w:after="0"/>
              <w:rPr>
                <w:sz w:val="20"/>
                <w:szCs w:val="20"/>
                <w:color w:val="auto"/>
              </w:rPr>
            </w:pPr>
            <w:r>
              <w:rPr>
                <w:rFonts w:ascii="Arial" w:cs="Arial" w:eastAsia="Arial" w:hAnsi="Arial"/>
                <w:sz w:val="10"/>
                <w:szCs w:val="10"/>
                <w:b w:val="1"/>
                <w:bCs w:val="1"/>
                <w:color w:val="auto"/>
              </w:rPr>
              <w:t>Total liabilities</w:t>
            </w:r>
          </w:p>
        </w:tc>
        <w:tc>
          <w:tcPr>
            <w:tcW w:w="300" w:type="dxa"/>
            <w:vAlign w:val="bottom"/>
          </w:tcPr>
          <w:p>
            <w:pPr>
              <w:spacing w:after="0"/>
              <w:rPr>
                <w:sz w:val="11"/>
                <w:szCs w:val="11"/>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6,026,319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4,455,892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4,527,135</w:t>
            </w:r>
          </w:p>
        </w:tc>
        <w:tc>
          <w:tcPr>
            <w:tcW w:w="0" w:type="dxa"/>
            <w:vAlign w:val="bottom"/>
          </w:tcPr>
          <w:p>
            <w:pPr>
              <w:spacing w:after="0"/>
              <w:rPr>
                <w:sz w:val="1"/>
                <w:szCs w:val="1"/>
                <w:color w:val="auto"/>
              </w:rPr>
            </w:pPr>
          </w:p>
        </w:tc>
      </w:tr>
      <w:tr>
        <w:trPr>
          <w:trHeight w:val="145"/>
        </w:trPr>
        <w:tc>
          <w:tcPr>
            <w:tcW w:w="66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6680" w:type="dxa"/>
            <w:vAlign w:val="bottom"/>
          </w:tcPr>
          <w:p>
            <w:pPr>
              <w:spacing w:after="0"/>
              <w:rPr>
                <w:sz w:val="20"/>
                <w:szCs w:val="20"/>
                <w:color w:val="auto"/>
              </w:rPr>
            </w:pPr>
            <w:r>
              <w:rPr>
                <w:rFonts w:ascii="Arial" w:cs="Arial" w:eastAsia="Arial" w:hAnsi="Arial"/>
                <w:sz w:val="10"/>
                <w:szCs w:val="10"/>
                <w:b w:val="1"/>
                <w:bCs w:val="1"/>
                <w:color w:val="auto"/>
              </w:rPr>
              <w:t>Stockholders' Equity</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Common stock</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329</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329</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Surplus</w:t>
            </w: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446,555</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298,548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297,024</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Retained earnings</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371,093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367,163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329,169</w:t>
            </w:r>
          </w:p>
        </w:tc>
        <w:tc>
          <w:tcPr>
            <w:tcW w:w="0" w:type="dxa"/>
            <w:vAlign w:val="bottom"/>
          </w:tcPr>
          <w:p>
            <w:pPr>
              <w:spacing w:after="0"/>
              <w:rPr>
                <w:sz w:val="1"/>
                <w:szCs w:val="1"/>
                <w:color w:val="auto"/>
              </w:rPr>
            </w:pPr>
          </w:p>
        </w:tc>
      </w:tr>
      <w:tr>
        <w:trPr>
          <w:trHeight w:val="141"/>
        </w:trPr>
        <w:tc>
          <w:tcPr>
            <w:tcW w:w="6680" w:type="dxa"/>
            <w:vAlign w:val="bottom"/>
          </w:tcPr>
          <w:p>
            <w:pPr>
              <w:ind w:left="60"/>
              <w:spacing w:after="0"/>
              <w:rPr>
                <w:sz w:val="20"/>
                <w:szCs w:val="20"/>
                <w:color w:val="auto"/>
              </w:rPr>
            </w:pPr>
            <w:r>
              <w:rPr>
                <w:rFonts w:ascii="Arial" w:cs="Arial" w:eastAsia="Arial" w:hAnsi="Arial"/>
                <w:sz w:val="10"/>
                <w:szCs w:val="10"/>
                <w:color w:val="auto"/>
              </w:rPr>
              <w:t>Accumulated other comprehensive income (loss)</w:t>
            </w:r>
          </w:p>
        </w:tc>
        <w:tc>
          <w:tcPr>
            <w:tcW w:w="300" w:type="dxa"/>
            <w:vAlign w:val="bottom"/>
          </w:tcPr>
          <w:p>
            <w:pPr>
              <w:spacing w:after="0"/>
              <w:rPr>
                <w:sz w:val="12"/>
                <w:szCs w:val="12"/>
                <w:color w:val="auto"/>
              </w:rPr>
            </w:pPr>
          </w:p>
        </w:tc>
        <w:tc>
          <w:tcPr>
            <w:tcW w:w="1180" w:type="dxa"/>
            <w:vAlign w:val="bottom"/>
          </w:tcPr>
          <w:p>
            <w:pPr>
              <w:jc w:val="right"/>
              <w:spacing w:after="0"/>
              <w:rPr>
                <w:sz w:val="20"/>
                <w:szCs w:val="20"/>
                <w:color w:val="auto"/>
              </w:rPr>
            </w:pPr>
            <w:r>
              <w:rPr>
                <w:rFonts w:ascii="Arial" w:cs="Arial" w:eastAsia="Arial" w:hAnsi="Arial"/>
                <w:sz w:val="10"/>
                <w:szCs w:val="10"/>
                <w:color w:val="auto"/>
              </w:rPr>
              <w:t>(27,371)</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(23,018)</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(38,446)</w:t>
            </w:r>
          </w:p>
        </w:tc>
        <w:tc>
          <w:tcPr>
            <w:tcW w:w="0" w:type="dxa"/>
            <w:vAlign w:val="bottom"/>
          </w:tcPr>
          <w:p>
            <w:pPr>
              <w:spacing w:after="0"/>
              <w:rPr>
                <w:sz w:val="1"/>
                <w:szCs w:val="1"/>
                <w:color w:val="auto"/>
              </w:rPr>
            </w:pPr>
          </w:p>
        </w:tc>
      </w:tr>
      <w:tr>
        <w:trPr>
          <w:trHeight w:val="147"/>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Treasury stock at cost</w:t>
            </w:r>
          </w:p>
        </w:tc>
        <w:tc>
          <w:tcPr>
            <w:tcW w:w="3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(43,257)</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(27,524)</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(23,019)</w:t>
            </w:r>
          </w:p>
        </w:tc>
        <w:tc>
          <w:tcPr>
            <w:tcW w:w="0" w:type="dxa"/>
            <w:vAlign w:val="bottom"/>
          </w:tcPr>
          <w:p>
            <w:pPr>
              <w:spacing w:after="0"/>
              <w:rPr>
                <w:sz w:val="1"/>
                <w:szCs w:val="1"/>
                <w:color w:val="auto"/>
              </w:rPr>
            </w:pPr>
          </w:p>
        </w:tc>
      </w:tr>
      <w:tr>
        <w:trPr>
          <w:trHeight w:val="132"/>
        </w:trPr>
        <w:tc>
          <w:tcPr>
            <w:tcW w:w="6680" w:type="dxa"/>
            <w:vAlign w:val="bottom"/>
            <w:tcBorders>
              <w:bottom w:val="single" w:sz="8" w:color="CCEEFF"/>
            </w:tcBorders>
          </w:tcPr>
          <w:p>
            <w:pPr>
              <w:ind w:left="220"/>
              <w:spacing w:after="0"/>
              <w:rPr>
                <w:sz w:val="20"/>
                <w:szCs w:val="20"/>
                <w:color w:val="auto"/>
              </w:rPr>
            </w:pPr>
            <w:r>
              <w:rPr>
                <w:rFonts w:ascii="Arial" w:cs="Arial" w:eastAsia="Arial" w:hAnsi="Arial"/>
                <w:sz w:val="10"/>
                <w:szCs w:val="10"/>
                <w:b w:val="1"/>
                <w:bCs w:val="1"/>
                <w:color w:val="auto"/>
              </w:rPr>
              <w:t>Total stockholders’ equity</w:t>
            </w: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747,405</w:t>
            </w: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615,498</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565,057</w:t>
            </w:r>
          </w:p>
        </w:tc>
        <w:tc>
          <w:tcPr>
            <w:tcW w:w="0" w:type="dxa"/>
            <w:vAlign w:val="bottom"/>
          </w:tcPr>
          <w:p>
            <w:pPr>
              <w:spacing w:after="0"/>
              <w:rPr>
                <w:sz w:val="1"/>
                <w:szCs w:val="1"/>
                <w:color w:val="auto"/>
              </w:rPr>
            </w:pPr>
          </w:p>
        </w:tc>
      </w:tr>
      <w:tr>
        <w:trPr>
          <w:trHeight w:val="132"/>
        </w:trPr>
        <w:tc>
          <w:tcPr>
            <w:tcW w:w="6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0"/>
                <w:szCs w:val="10"/>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6,773,724</w:t>
            </w:r>
          </w:p>
        </w:tc>
        <w:tc>
          <w:tcPr>
            <w:tcW w:w="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5,071,390</w:t>
            </w:r>
          </w:p>
        </w:tc>
        <w:tc>
          <w:tcPr>
            <w:tcW w:w="1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5,092,192</w:t>
            </w:r>
          </w:p>
        </w:tc>
        <w:tc>
          <w:tcPr>
            <w:tcW w:w="0" w:type="dxa"/>
            <w:vAlign w:val="bottom"/>
          </w:tcPr>
          <w:p>
            <w:pPr>
              <w:spacing w:after="0"/>
              <w:rPr>
                <w:sz w:val="1"/>
                <w:szCs w:val="1"/>
                <w:color w:val="auto"/>
              </w:rPr>
            </w:pPr>
          </w:p>
        </w:tc>
      </w:tr>
      <w:tr>
        <w:trPr>
          <w:trHeight w:val="144"/>
        </w:trPr>
        <w:tc>
          <w:tcPr>
            <w:tcW w:w="6680" w:type="dxa"/>
            <w:vAlign w:val="bottom"/>
          </w:tcPr>
          <w:p>
            <w:pPr>
              <w:spacing w:after="0"/>
              <w:rPr>
                <w:sz w:val="20"/>
                <w:szCs w:val="20"/>
                <w:color w:val="auto"/>
              </w:rPr>
            </w:pPr>
            <w:r>
              <w:rPr>
                <w:rFonts w:ascii="Arial" w:cs="Arial" w:eastAsia="Arial" w:hAnsi="Arial"/>
                <w:sz w:val="10"/>
                <w:szCs w:val="10"/>
                <w:b w:val="1"/>
                <w:bCs w:val="1"/>
                <w:color w:val="auto"/>
              </w:rPr>
              <w:t>SHARES OF COMMON STOCK OUTSTANDING</w:t>
            </w:r>
          </w:p>
        </w:tc>
        <w:tc>
          <w:tcPr>
            <w:tcW w:w="3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36,381,078</w:t>
            </w: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31,431,924</w:t>
            </w: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31,631,431</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00" w:top="135" w:right="299" w:bottom="1440" w:gutter="0" w:footer="0" w:header="0"/>
        </w:sectPr>
      </w:pPr>
    </w:p>
    <w:bookmarkStart w:id="12" w:name="page13"/>
    <w:bookmarkEnd w:id="12"/>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10</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HBT Financial,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Unaudited Consolidated Financial Summary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8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March 31,</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tcPr>
          <w:p>
            <w:pPr>
              <w:ind w:left="180"/>
              <w:spacing w:after="0"/>
              <w:rPr>
                <w:sz w:val="20"/>
                <w:szCs w:val="20"/>
                <w:color w:val="auto"/>
              </w:rPr>
            </w:pPr>
            <w:r>
              <w:rPr>
                <w:rFonts w:ascii="Arial" w:cs="Arial" w:eastAsia="Arial" w:hAnsi="Arial"/>
                <w:sz w:val="10"/>
                <w:szCs w:val="10"/>
                <w:b w:val="1"/>
                <w:bCs w:val="1"/>
                <w:color w:val="auto"/>
              </w:rPr>
              <w:t>December 31,</w:t>
            </w:r>
          </w:p>
        </w:tc>
        <w:tc>
          <w:tcPr>
            <w:tcW w:w="280" w:type="dxa"/>
            <w:vAlign w:val="bottom"/>
          </w:tcPr>
          <w:p>
            <w:pPr>
              <w:spacing w:after="0"/>
              <w:rPr>
                <w:sz w:val="10"/>
                <w:szCs w:val="10"/>
                <w:color w:val="auto"/>
              </w:rPr>
            </w:pPr>
          </w:p>
        </w:tc>
        <w:tc>
          <w:tcPr>
            <w:tcW w:w="1200" w:type="dxa"/>
            <w:vAlign w:val="bottom"/>
          </w:tcPr>
          <w:p>
            <w:pPr>
              <w:jc w:val="right"/>
              <w:ind w:right="472"/>
              <w:spacing w:after="0"/>
              <w:rPr>
                <w:sz w:val="20"/>
                <w:szCs w:val="20"/>
                <w:color w:val="auto"/>
              </w:rPr>
            </w:pPr>
            <w:r>
              <w:rPr>
                <w:rFonts w:ascii="Arial" w:cs="Arial" w:eastAsia="Arial" w:hAnsi="Arial"/>
                <w:sz w:val="10"/>
                <w:szCs w:val="10"/>
                <w:b w:val="1"/>
                <w:bCs w:val="1"/>
                <w:color w:val="auto"/>
              </w:rPr>
              <w:t>March 31,</w:t>
            </w:r>
          </w:p>
        </w:tc>
        <w:tc>
          <w:tcPr>
            <w:tcW w:w="0" w:type="dxa"/>
            <w:vAlign w:val="bottom"/>
          </w:tcPr>
          <w:p>
            <w:pPr>
              <w:spacing w:after="0"/>
              <w:rPr>
                <w:sz w:val="1"/>
                <w:szCs w:val="1"/>
                <w:color w:val="auto"/>
              </w:rPr>
            </w:pPr>
          </w:p>
        </w:tc>
      </w:tr>
      <w:tr>
        <w:trPr>
          <w:trHeight w:val="134"/>
        </w:trPr>
        <w:tc>
          <w:tcPr>
            <w:tcW w:w="6680" w:type="dxa"/>
            <w:vAlign w:val="bottom"/>
            <w:vMerge w:val="continue"/>
          </w:tcPr>
          <w:p>
            <w:pPr>
              <w:spacing w:after="0"/>
              <w:rPr>
                <w:sz w:val="11"/>
                <w:szCs w:val="11"/>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2026</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b w:val="1"/>
                <w:bCs w:val="1"/>
                <w:color w:val="auto"/>
              </w:rPr>
              <w:t>2025</w:t>
            </w: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52"/>
        </w:trPr>
        <w:tc>
          <w:tcPr>
            <w:tcW w:w="66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LOANS</w:t>
            </w:r>
          </w:p>
        </w:tc>
        <w:tc>
          <w:tcPr>
            <w:tcW w:w="9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6680" w:type="dxa"/>
            <w:vAlign w:val="bottom"/>
          </w:tcPr>
          <w:p>
            <w:pPr>
              <w:spacing w:after="0"/>
              <w:rPr>
                <w:sz w:val="20"/>
                <w:szCs w:val="20"/>
                <w:color w:val="auto"/>
              </w:rPr>
            </w:pPr>
            <w:r>
              <w:rPr>
                <w:rFonts w:ascii="Arial" w:cs="Arial" w:eastAsia="Arial" w:hAnsi="Arial"/>
                <w:sz w:val="10"/>
                <w:szCs w:val="10"/>
                <w:color w:val="auto"/>
              </w:rPr>
              <w:t>Commercial and industrial</w:t>
            </w:r>
          </w:p>
        </w:tc>
        <w:tc>
          <w:tcPr>
            <w:tcW w:w="980" w:type="dxa"/>
            <w:vAlign w:val="bottom"/>
          </w:tcPr>
          <w:p>
            <w:pPr>
              <w:jc w:val="right"/>
              <w:ind w:right="87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0"/>
                <w:szCs w:val="10"/>
                <w:color w:val="auto"/>
              </w:rPr>
              <w:t>528,301</w:t>
            </w:r>
          </w:p>
        </w:tc>
        <w:tc>
          <w:tcPr>
            <w:tcW w:w="80" w:type="dxa"/>
            <w:vAlign w:val="bottom"/>
          </w:tcPr>
          <w:p>
            <w:pPr>
              <w:spacing w:after="0"/>
              <w:rPr>
                <w:sz w:val="11"/>
                <w:szCs w:val="11"/>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399,760</w:t>
            </w:r>
          </w:p>
        </w:tc>
        <w:tc>
          <w:tcPr>
            <w:tcW w:w="100" w:type="dxa"/>
            <w:vAlign w:val="bottom"/>
          </w:tcPr>
          <w:p>
            <w:pPr>
              <w:spacing w:after="0"/>
              <w:rPr>
                <w:sz w:val="11"/>
                <w:szCs w:val="11"/>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441,261</w:t>
            </w:r>
          </w:p>
        </w:tc>
        <w:tc>
          <w:tcPr>
            <w:tcW w:w="0" w:type="dxa"/>
            <w:vAlign w:val="bottom"/>
          </w:tcPr>
          <w:p>
            <w:pPr>
              <w:spacing w:after="0"/>
              <w:rPr>
                <w:sz w:val="1"/>
                <w:szCs w:val="1"/>
                <w:color w:val="auto"/>
              </w:rPr>
            </w:pPr>
          </w:p>
        </w:tc>
      </w:tr>
      <w:tr>
        <w:trPr>
          <w:trHeight w:val="138"/>
        </w:trPr>
        <w:tc>
          <w:tcPr>
            <w:tcW w:w="6680" w:type="dxa"/>
            <w:vAlign w:val="bottom"/>
            <w:shd w:val="clear" w:color="auto" w:fill="CCEEFF"/>
          </w:tcPr>
          <w:p>
            <w:pPr>
              <w:spacing w:after="0"/>
              <w:rPr>
                <w:sz w:val="20"/>
                <w:szCs w:val="20"/>
                <w:color w:val="auto"/>
              </w:rPr>
            </w:pPr>
            <w:r>
              <w:rPr>
                <w:rFonts w:ascii="Arial" w:cs="Arial" w:eastAsia="Arial" w:hAnsi="Arial"/>
                <w:sz w:val="10"/>
                <w:szCs w:val="10"/>
                <w:color w:val="auto"/>
              </w:rPr>
              <w:t>Commercial real estate - owner occupied</w:t>
            </w:r>
          </w:p>
        </w:tc>
        <w:tc>
          <w:tcPr>
            <w:tcW w:w="9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519,847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320,434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321,990</w:t>
            </w:r>
          </w:p>
        </w:tc>
        <w:tc>
          <w:tcPr>
            <w:tcW w:w="0" w:type="dxa"/>
            <w:vAlign w:val="bottom"/>
          </w:tcPr>
          <w:p>
            <w:pPr>
              <w:spacing w:after="0"/>
              <w:rPr>
                <w:sz w:val="1"/>
                <w:szCs w:val="1"/>
                <w:color w:val="auto"/>
              </w:rPr>
            </w:pPr>
          </w:p>
        </w:tc>
      </w:tr>
      <w:tr>
        <w:trPr>
          <w:trHeight w:val="132"/>
        </w:trPr>
        <w:tc>
          <w:tcPr>
            <w:tcW w:w="6680" w:type="dxa"/>
            <w:vAlign w:val="bottom"/>
          </w:tcPr>
          <w:p>
            <w:pPr>
              <w:spacing w:after="0"/>
              <w:rPr>
                <w:sz w:val="20"/>
                <w:szCs w:val="20"/>
                <w:color w:val="auto"/>
              </w:rPr>
            </w:pPr>
            <w:r>
              <w:rPr>
                <w:rFonts w:ascii="Arial" w:cs="Arial" w:eastAsia="Arial" w:hAnsi="Arial"/>
                <w:sz w:val="10"/>
                <w:szCs w:val="10"/>
                <w:color w:val="auto"/>
              </w:rPr>
              <w:t>Commercial real estate - non-owner occupied</w:t>
            </w:r>
          </w:p>
        </w:tc>
        <w:tc>
          <w:tcPr>
            <w:tcW w:w="9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w w:val="98"/>
              </w:rPr>
              <w:t>1,099,784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937,094</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891,022</w:t>
            </w:r>
          </w:p>
        </w:tc>
        <w:tc>
          <w:tcPr>
            <w:tcW w:w="0" w:type="dxa"/>
            <w:vAlign w:val="bottom"/>
          </w:tcPr>
          <w:p>
            <w:pPr>
              <w:spacing w:after="0"/>
              <w:rPr>
                <w:sz w:val="1"/>
                <w:szCs w:val="1"/>
                <w:color w:val="auto"/>
              </w:rPr>
            </w:pPr>
          </w:p>
        </w:tc>
      </w:tr>
      <w:tr>
        <w:trPr>
          <w:trHeight w:val="138"/>
        </w:trPr>
        <w:tc>
          <w:tcPr>
            <w:tcW w:w="6680" w:type="dxa"/>
            <w:vAlign w:val="bottom"/>
            <w:shd w:val="clear" w:color="auto" w:fill="CCEEFF"/>
          </w:tcPr>
          <w:p>
            <w:pPr>
              <w:spacing w:after="0"/>
              <w:rPr>
                <w:sz w:val="20"/>
                <w:szCs w:val="20"/>
                <w:color w:val="auto"/>
              </w:rPr>
            </w:pPr>
            <w:r>
              <w:rPr>
                <w:rFonts w:ascii="Arial" w:cs="Arial" w:eastAsia="Arial" w:hAnsi="Arial"/>
                <w:sz w:val="10"/>
                <w:szCs w:val="10"/>
                <w:color w:val="auto"/>
              </w:rPr>
              <w:t>Construction and land development</w:t>
            </w:r>
          </w:p>
        </w:tc>
        <w:tc>
          <w:tcPr>
            <w:tcW w:w="9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425,335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280,254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376,046</w:t>
            </w:r>
          </w:p>
        </w:tc>
        <w:tc>
          <w:tcPr>
            <w:tcW w:w="0" w:type="dxa"/>
            <w:vAlign w:val="bottom"/>
          </w:tcPr>
          <w:p>
            <w:pPr>
              <w:spacing w:after="0"/>
              <w:rPr>
                <w:sz w:val="1"/>
                <w:szCs w:val="1"/>
                <w:color w:val="auto"/>
              </w:rPr>
            </w:pPr>
          </w:p>
        </w:tc>
      </w:tr>
      <w:tr>
        <w:trPr>
          <w:trHeight w:val="132"/>
        </w:trPr>
        <w:tc>
          <w:tcPr>
            <w:tcW w:w="6680" w:type="dxa"/>
            <w:vAlign w:val="bottom"/>
          </w:tcPr>
          <w:p>
            <w:pPr>
              <w:spacing w:after="0"/>
              <w:rPr>
                <w:sz w:val="20"/>
                <w:szCs w:val="20"/>
                <w:color w:val="auto"/>
              </w:rPr>
            </w:pPr>
            <w:r>
              <w:rPr>
                <w:rFonts w:ascii="Arial" w:cs="Arial" w:eastAsia="Arial" w:hAnsi="Arial"/>
                <w:sz w:val="10"/>
                <w:szCs w:val="10"/>
                <w:color w:val="auto"/>
              </w:rPr>
              <w:t>Multi-family</w:t>
            </w:r>
          </w:p>
        </w:tc>
        <w:tc>
          <w:tcPr>
            <w:tcW w:w="9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638,653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544,941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424,096</w:t>
            </w:r>
          </w:p>
        </w:tc>
        <w:tc>
          <w:tcPr>
            <w:tcW w:w="0" w:type="dxa"/>
            <w:vAlign w:val="bottom"/>
          </w:tcPr>
          <w:p>
            <w:pPr>
              <w:spacing w:after="0"/>
              <w:rPr>
                <w:sz w:val="1"/>
                <w:szCs w:val="1"/>
                <w:color w:val="auto"/>
              </w:rPr>
            </w:pPr>
          </w:p>
        </w:tc>
      </w:tr>
      <w:tr>
        <w:trPr>
          <w:trHeight w:val="138"/>
        </w:trPr>
        <w:tc>
          <w:tcPr>
            <w:tcW w:w="6680" w:type="dxa"/>
            <w:vAlign w:val="bottom"/>
            <w:shd w:val="clear" w:color="auto" w:fill="CCEEFF"/>
          </w:tcPr>
          <w:p>
            <w:pPr>
              <w:spacing w:after="0"/>
              <w:rPr>
                <w:sz w:val="20"/>
                <w:szCs w:val="20"/>
                <w:color w:val="auto"/>
              </w:rPr>
            </w:pPr>
            <w:r>
              <w:rPr>
                <w:rFonts w:ascii="Arial" w:cs="Arial" w:eastAsia="Arial" w:hAnsi="Arial"/>
                <w:sz w:val="10"/>
                <w:szCs w:val="10"/>
                <w:color w:val="auto"/>
              </w:rPr>
              <w:t>One-to-four family residential</w:t>
            </w:r>
          </w:p>
        </w:tc>
        <w:tc>
          <w:tcPr>
            <w:tcW w:w="9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614,563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445,463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455,376</w:t>
            </w:r>
          </w:p>
        </w:tc>
        <w:tc>
          <w:tcPr>
            <w:tcW w:w="0" w:type="dxa"/>
            <w:vAlign w:val="bottom"/>
          </w:tcPr>
          <w:p>
            <w:pPr>
              <w:spacing w:after="0"/>
              <w:rPr>
                <w:sz w:val="1"/>
                <w:szCs w:val="1"/>
                <w:color w:val="auto"/>
              </w:rPr>
            </w:pPr>
          </w:p>
        </w:tc>
      </w:tr>
      <w:tr>
        <w:trPr>
          <w:trHeight w:val="132"/>
        </w:trPr>
        <w:tc>
          <w:tcPr>
            <w:tcW w:w="6680" w:type="dxa"/>
            <w:vAlign w:val="bottom"/>
          </w:tcPr>
          <w:p>
            <w:pPr>
              <w:spacing w:after="0"/>
              <w:rPr>
                <w:sz w:val="20"/>
                <w:szCs w:val="20"/>
                <w:color w:val="auto"/>
              </w:rPr>
            </w:pPr>
            <w:r>
              <w:rPr>
                <w:rFonts w:ascii="Arial" w:cs="Arial" w:eastAsia="Arial" w:hAnsi="Arial"/>
                <w:sz w:val="10"/>
                <w:szCs w:val="10"/>
                <w:color w:val="auto"/>
              </w:rPr>
              <w:t>Agricultural and farmland</w:t>
            </w:r>
          </w:p>
        </w:tc>
        <w:tc>
          <w:tcPr>
            <w:tcW w:w="9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596,294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275,251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292,240</w:t>
            </w:r>
          </w:p>
        </w:tc>
        <w:tc>
          <w:tcPr>
            <w:tcW w:w="0" w:type="dxa"/>
            <w:vAlign w:val="bottom"/>
          </w:tcPr>
          <w:p>
            <w:pPr>
              <w:spacing w:after="0"/>
              <w:rPr>
                <w:sz w:val="1"/>
                <w:szCs w:val="1"/>
                <w:color w:val="auto"/>
              </w:rPr>
            </w:pPr>
          </w:p>
        </w:tc>
      </w:tr>
      <w:tr>
        <w:trPr>
          <w:trHeight w:val="135"/>
        </w:trPr>
        <w:tc>
          <w:tcPr>
            <w:tcW w:w="6680" w:type="dxa"/>
            <w:vAlign w:val="bottom"/>
            <w:shd w:val="clear" w:color="auto" w:fill="CCEEFF"/>
          </w:tcPr>
          <w:p>
            <w:pPr>
              <w:spacing w:after="0"/>
              <w:rPr>
                <w:sz w:val="20"/>
                <w:szCs w:val="20"/>
                <w:color w:val="auto"/>
              </w:rPr>
            </w:pPr>
            <w:r>
              <w:rPr>
                <w:rFonts w:ascii="Arial" w:cs="Arial" w:eastAsia="Arial" w:hAnsi="Arial"/>
                <w:sz w:val="10"/>
                <w:szCs w:val="10"/>
                <w:color w:val="auto"/>
              </w:rPr>
              <w:t>Municipal, consumer, and other</w:t>
            </w:r>
          </w:p>
        </w:tc>
        <w:tc>
          <w:tcPr>
            <w:tcW w:w="98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264,174</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253,012</w:t>
            </w: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259,747</w:t>
            </w:r>
          </w:p>
        </w:tc>
        <w:tc>
          <w:tcPr>
            <w:tcW w:w="0" w:type="dxa"/>
            <w:vAlign w:val="bottom"/>
          </w:tcPr>
          <w:p>
            <w:pPr>
              <w:spacing w:after="0"/>
              <w:rPr>
                <w:sz w:val="1"/>
                <w:szCs w:val="1"/>
                <w:color w:val="auto"/>
              </w:rPr>
            </w:pPr>
          </w:p>
        </w:tc>
      </w:tr>
      <w:tr>
        <w:trPr>
          <w:trHeight w:val="127"/>
        </w:trPr>
        <w:tc>
          <w:tcPr>
            <w:tcW w:w="6680" w:type="dxa"/>
            <w:vAlign w:val="bottom"/>
          </w:tcPr>
          <w:p>
            <w:pPr>
              <w:ind w:left="140"/>
              <w:spacing w:after="0"/>
              <w:rPr>
                <w:sz w:val="20"/>
                <w:szCs w:val="20"/>
                <w:color w:val="auto"/>
              </w:rPr>
            </w:pPr>
            <w:r>
              <w:rPr>
                <w:rFonts w:ascii="Arial" w:cs="Arial" w:eastAsia="Arial" w:hAnsi="Arial"/>
                <w:sz w:val="10"/>
                <w:szCs w:val="10"/>
                <w:b w:val="1"/>
                <w:bCs w:val="1"/>
                <w:color w:val="auto"/>
              </w:rPr>
              <w:t>Total loans</w:t>
            </w:r>
          </w:p>
        </w:tc>
        <w:tc>
          <w:tcPr>
            <w:tcW w:w="980" w:type="dxa"/>
            <w:vAlign w:val="bottom"/>
            <w:tcBorders>
              <w:bottom w:val="single" w:sz="8" w:color="auto"/>
            </w:tcBorders>
          </w:tcPr>
          <w:p>
            <w:pPr>
              <w:jc w:val="right"/>
              <w:ind w:right="87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8"/>
              </w:rPr>
              <w:t>4,686,951</w:t>
            </w:r>
          </w:p>
        </w:tc>
        <w:tc>
          <w:tcPr>
            <w:tcW w:w="80" w:type="dxa"/>
            <w:vAlign w:val="bottom"/>
          </w:tcPr>
          <w:p>
            <w:pPr>
              <w:spacing w:after="0"/>
              <w:rPr>
                <w:sz w:val="11"/>
                <w:szCs w:val="11"/>
                <w:color w:val="auto"/>
              </w:rPr>
            </w:pPr>
          </w:p>
        </w:tc>
        <w:tc>
          <w:tcPr>
            <w:tcW w:w="2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3,456,209</w:t>
            </w:r>
          </w:p>
        </w:tc>
        <w:tc>
          <w:tcPr>
            <w:tcW w:w="100" w:type="dxa"/>
            <w:vAlign w:val="bottom"/>
          </w:tcPr>
          <w:p>
            <w:pPr>
              <w:spacing w:after="0"/>
              <w:rPr>
                <w:sz w:val="11"/>
                <w:szCs w:val="11"/>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3,461,778</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8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980" w:type="dxa"/>
            <w:vAlign w:val="bottom"/>
          </w:tcPr>
          <w:p>
            <w:pPr>
              <w:jc w:val="right"/>
              <w:spacing w:after="0"/>
              <w:rPr>
                <w:sz w:val="20"/>
                <w:szCs w:val="20"/>
                <w:color w:val="auto"/>
              </w:rPr>
            </w:pPr>
            <w:r>
              <w:rPr>
                <w:rFonts w:ascii="Arial" w:cs="Arial" w:eastAsia="Arial" w:hAnsi="Arial"/>
                <w:sz w:val="10"/>
                <w:szCs w:val="10"/>
                <w:b w:val="1"/>
                <w:bCs w:val="1"/>
                <w:color w:val="auto"/>
              </w:rPr>
              <w:t>March 31,</w:t>
            </w: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tcPr>
          <w:p>
            <w:pPr>
              <w:ind w:left="180"/>
              <w:spacing w:after="0"/>
              <w:rPr>
                <w:sz w:val="20"/>
                <w:szCs w:val="20"/>
                <w:color w:val="auto"/>
              </w:rPr>
            </w:pPr>
            <w:r>
              <w:rPr>
                <w:rFonts w:ascii="Arial" w:cs="Arial" w:eastAsia="Arial" w:hAnsi="Arial"/>
                <w:sz w:val="10"/>
                <w:szCs w:val="10"/>
                <w:b w:val="1"/>
                <w:bCs w:val="1"/>
                <w:color w:val="auto"/>
              </w:rPr>
              <w:t>December 31,</w:t>
            </w:r>
          </w:p>
        </w:tc>
        <w:tc>
          <w:tcPr>
            <w:tcW w:w="280" w:type="dxa"/>
            <w:vAlign w:val="bottom"/>
          </w:tcPr>
          <w:p>
            <w:pPr>
              <w:spacing w:after="0"/>
              <w:rPr>
                <w:sz w:val="10"/>
                <w:szCs w:val="10"/>
                <w:color w:val="auto"/>
              </w:rPr>
            </w:pPr>
          </w:p>
        </w:tc>
        <w:tc>
          <w:tcPr>
            <w:tcW w:w="1200" w:type="dxa"/>
            <w:vAlign w:val="bottom"/>
          </w:tcPr>
          <w:p>
            <w:pPr>
              <w:jc w:val="right"/>
              <w:ind w:right="472"/>
              <w:spacing w:after="0"/>
              <w:rPr>
                <w:sz w:val="20"/>
                <w:szCs w:val="20"/>
                <w:color w:val="auto"/>
              </w:rPr>
            </w:pPr>
            <w:r>
              <w:rPr>
                <w:rFonts w:ascii="Arial" w:cs="Arial" w:eastAsia="Arial" w:hAnsi="Arial"/>
                <w:sz w:val="10"/>
                <w:szCs w:val="10"/>
                <w:b w:val="1"/>
                <w:bCs w:val="1"/>
                <w:color w:val="auto"/>
              </w:rPr>
              <w:t>March 31,</w:t>
            </w:r>
          </w:p>
        </w:tc>
        <w:tc>
          <w:tcPr>
            <w:tcW w:w="0" w:type="dxa"/>
            <w:vAlign w:val="bottom"/>
          </w:tcPr>
          <w:p>
            <w:pPr>
              <w:spacing w:after="0"/>
              <w:rPr>
                <w:sz w:val="1"/>
                <w:szCs w:val="1"/>
                <w:color w:val="auto"/>
              </w:rPr>
            </w:pPr>
          </w:p>
        </w:tc>
      </w:tr>
      <w:tr>
        <w:trPr>
          <w:trHeight w:val="132"/>
        </w:trPr>
        <w:tc>
          <w:tcPr>
            <w:tcW w:w="6680" w:type="dxa"/>
            <w:vAlign w:val="bottom"/>
            <w:vMerge w:val="continue"/>
          </w:tcPr>
          <w:p>
            <w:pPr>
              <w:spacing w:after="0"/>
              <w:rPr>
                <w:sz w:val="11"/>
                <w:szCs w:val="11"/>
                <w:color w:val="auto"/>
              </w:rPr>
            </w:pPr>
          </w:p>
        </w:tc>
        <w:tc>
          <w:tcPr>
            <w:tcW w:w="980" w:type="dxa"/>
            <w:vAlign w:val="bottom"/>
            <w:tcBorders>
              <w:bottom w:val="single" w:sz="8" w:color="auto"/>
            </w:tcBorders>
          </w:tcPr>
          <w:p>
            <w:pPr>
              <w:jc w:val="right"/>
              <w:ind w:right="92"/>
              <w:spacing w:after="0"/>
              <w:rPr>
                <w:sz w:val="20"/>
                <w:szCs w:val="20"/>
                <w:color w:val="auto"/>
              </w:rPr>
            </w:pPr>
            <w:r>
              <w:rPr>
                <w:rFonts w:ascii="Arial" w:cs="Arial" w:eastAsia="Arial" w:hAnsi="Arial"/>
                <w:sz w:val="10"/>
                <w:szCs w:val="10"/>
                <w:b w:val="1"/>
                <w:bCs w:val="1"/>
                <w:color w:val="auto"/>
              </w:rPr>
              <w:t>2026</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b w:val="1"/>
                <w:bCs w:val="1"/>
                <w:color w:val="auto"/>
              </w:rPr>
              <w:t>2025</w:t>
            </w: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43"/>
        </w:trPr>
        <w:tc>
          <w:tcPr>
            <w:tcW w:w="66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DEPOSITS</w:t>
            </w:r>
          </w:p>
        </w:tc>
        <w:tc>
          <w:tcPr>
            <w:tcW w:w="9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680" w:type="dxa"/>
            <w:vAlign w:val="bottom"/>
          </w:tcPr>
          <w:p>
            <w:pPr>
              <w:spacing w:after="0"/>
              <w:rPr>
                <w:sz w:val="20"/>
                <w:szCs w:val="20"/>
                <w:color w:val="auto"/>
              </w:rPr>
            </w:pPr>
            <w:r>
              <w:rPr>
                <w:rFonts w:ascii="Arial" w:cs="Arial" w:eastAsia="Arial" w:hAnsi="Arial"/>
                <w:sz w:val="10"/>
                <w:szCs w:val="10"/>
                <w:color w:val="auto"/>
              </w:rPr>
              <w:t>Noninterest-bearing deposits</w:t>
            </w:r>
          </w:p>
        </w:tc>
        <w:tc>
          <w:tcPr>
            <w:tcW w:w="980" w:type="dxa"/>
            <w:vAlign w:val="bottom"/>
          </w:tcPr>
          <w:p>
            <w:pPr>
              <w:jc w:val="right"/>
              <w:ind w:right="872"/>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0"/>
                <w:szCs w:val="10"/>
                <w:color w:val="auto"/>
                <w:w w:val="98"/>
              </w:rPr>
              <w:t>1,342,192</w:t>
            </w:r>
          </w:p>
        </w:tc>
        <w:tc>
          <w:tcPr>
            <w:tcW w:w="80" w:type="dxa"/>
            <w:vAlign w:val="bottom"/>
          </w:tcPr>
          <w:p>
            <w:pPr>
              <w:spacing w:after="0"/>
              <w:rPr>
                <w:sz w:val="11"/>
                <w:szCs w:val="11"/>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1,049,043</w:t>
            </w:r>
          </w:p>
        </w:tc>
        <w:tc>
          <w:tcPr>
            <w:tcW w:w="100" w:type="dxa"/>
            <w:vAlign w:val="bottom"/>
          </w:tcPr>
          <w:p>
            <w:pPr>
              <w:spacing w:after="0"/>
              <w:rPr>
                <w:sz w:val="11"/>
                <w:szCs w:val="11"/>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1,065,874</w:t>
            </w:r>
          </w:p>
        </w:tc>
        <w:tc>
          <w:tcPr>
            <w:tcW w:w="0" w:type="dxa"/>
            <w:vAlign w:val="bottom"/>
          </w:tcPr>
          <w:p>
            <w:pPr>
              <w:spacing w:after="0"/>
              <w:rPr>
                <w:sz w:val="1"/>
                <w:szCs w:val="1"/>
                <w:color w:val="auto"/>
              </w:rPr>
            </w:pPr>
          </w:p>
        </w:tc>
      </w:tr>
      <w:tr>
        <w:trPr>
          <w:trHeight w:val="138"/>
        </w:trPr>
        <w:tc>
          <w:tcPr>
            <w:tcW w:w="6680" w:type="dxa"/>
            <w:vAlign w:val="bottom"/>
            <w:shd w:val="clear" w:color="auto" w:fill="CCEEFF"/>
          </w:tcPr>
          <w:p>
            <w:pPr>
              <w:spacing w:after="0"/>
              <w:rPr>
                <w:sz w:val="20"/>
                <w:szCs w:val="20"/>
                <w:color w:val="auto"/>
              </w:rPr>
            </w:pPr>
            <w:r>
              <w:rPr>
                <w:rFonts w:ascii="Arial" w:cs="Arial" w:eastAsia="Arial" w:hAnsi="Arial"/>
                <w:sz w:val="10"/>
                <w:szCs w:val="10"/>
                <w:color w:val="auto"/>
              </w:rPr>
              <w:t>Interest-bearing deposits:</w:t>
            </w:r>
          </w:p>
        </w:tc>
        <w:tc>
          <w:tcPr>
            <w:tcW w:w="9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680" w:type="dxa"/>
            <w:vAlign w:val="bottom"/>
          </w:tcPr>
          <w:p>
            <w:pPr>
              <w:ind w:left="60"/>
              <w:spacing w:after="0"/>
              <w:rPr>
                <w:sz w:val="20"/>
                <w:szCs w:val="20"/>
                <w:color w:val="auto"/>
              </w:rPr>
            </w:pPr>
            <w:r>
              <w:rPr>
                <w:rFonts w:ascii="Arial" w:cs="Arial" w:eastAsia="Arial" w:hAnsi="Arial"/>
                <w:sz w:val="10"/>
                <w:szCs w:val="10"/>
                <w:color w:val="auto"/>
              </w:rPr>
              <w:t>Interest-bearing demand</w:t>
            </w:r>
          </w:p>
        </w:tc>
        <w:tc>
          <w:tcPr>
            <w:tcW w:w="9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w w:val="98"/>
              </w:rPr>
              <w:t>1,365,216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1,144,416</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1,143,677</w:t>
            </w:r>
          </w:p>
        </w:tc>
        <w:tc>
          <w:tcPr>
            <w:tcW w:w="0" w:type="dxa"/>
            <w:vAlign w:val="bottom"/>
          </w:tcPr>
          <w:p>
            <w:pPr>
              <w:spacing w:after="0"/>
              <w:rPr>
                <w:sz w:val="1"/>
                <w:szCs w:val="1"/>
                <w:color w:val="auto"/>
              </w:rPr>
            </w:pPr>
          </w:p>
        </w:tc>
      </w:tr>
      <w:tr>
        <w:trPr>
          <w:trHeight w:val="138"/>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Money market</w:t>
            </w:r>
          </w:p>
        </w:tc>
        <w:tc>
          <w:tcPr>
            <w:tcW w:w="9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929,671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839,097</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812,146</w:t>
            </w:r>
          </w:p>
        </w:tc>
        <w:tc>
          <w:tcPr>
            <w:tcW w:w="0" w:type="dxa"/>
            <w:vAlign w:val="bottom"/>
          </w:tcPr>
          <w:p>
            <w:pPr>
              <w:spacing w:after="0"/>
              <w:rPr>
                <w:sz w:val="1"/>
                <w:szCs w:val="1"/>
                <w:color w:val="auto"/>
              </w:rPr>
            </w:pPr>
          </w:p>
        </w:tc>
      </w:tr>
      <w:tr>
        <w:trPr>
          <w:trHeight w:val="132"/>
        </w:trPr>
        <w:tc>
          <w:tcPr>
            <w:tcW w:w="6680" w:type="dxa"/>
            <w:vAlign w:val="bottom"/>
          </w:tcPr>
          <w:p>
            <w:pPr>
              <w:ind w:left="60"/>
              <w:spacing w:after="0"/>
              <w:rPr>
                <w:sz w:val="20"/>
                <w:szCs w:val="20"/>
                <w:color w:val="auto"/>
              </w:rPr>
            </w:pPr>
            <w:r>
              <w:rPr>
                <w:rFonts w:ascii="Arial" w:cs="Arial" w:eastAsia="Arial" w:hAnsi="Arial"/>
                <w:sz w:val="10"/>
                <w:szCs w:val="10"/>
                <w:color w:val="auto"/>
              </w:rPr>
              <w:t>Savings</w:t>
            </w:r>
          </w:p>
        </w:tc>
        <w:tc>
          <w:tcPr>
            <w:tcW w:w="9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900,700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564,220</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jc w:val="right"/>
              <w:spacing w:after="0"/>
              <w:rPr>
                <w:sz w:val="20"/>
                <w:szCs w:val="20"/>
                <w:color w:val="auto"/>
              </w:rPr>
            </w:pPr>
            <w:r>
              <w:rPr>
                <w:rFonts w:ascii="Arial" w:cs="Arial" w:eastAsia="Arial" w:hAnsi="Arial"/>
                <w:sz w:val="10"/>
                <w:szCs w:val="10"/>
                <w:color w:val="auto"/>
              </w:rPr>
              <w:t>575,558</w:t>
            </w:r>
          </w:p>
        </w:tc>
        <w:tc>
          <w:tcPr>
            <w:tcW w:w="0" w:type="dxa"/>
            <w:vAlign w:val="bottom"/>
          </w:tcPr>
          <w:p>
            <w:pPr>
              <w:spacing w:after="0"/>
              <w:rPr>
                <w:sz w:val="1"/>
                <w:szCs w:val="1"/>
                <w:color w:val="auto"/>
              </w:rPr>
            </w:pPr>
          </w:p>
        </w:tc>
      </w:tr>
      <w:tr>
        <w:trPr>
          <w:trHeight w:val="138"/>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Time</w:t>
            </w:r>
          </w:p>
        </w:tc>
        <w:tc>
          <w:tcPr>
            <w:tcW w:w="9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8"/>
              </w:rPr>
              <w:t>1,265,669</w:t>
            </w: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762,487</w:t>
            </w:r>
          </w:p>
        </w:tc>
        <w:tc>
          <w:tcPr>
            <w:tcW w:w="1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787,335</w:t>
            </w:r>
          </w:p>
        </w:tc>
        <w:tc>
          <w:tcPr>
            <w:tcW w:w="0" w:type="dxa"/>
            <w:vAlign w:val="bottom"/>
          </w:tcPr>
          <w:p>
            <w:pPr>
              <w:spacing w:after="0"/>
              <w:rPr>
                <w:sz w:val="1"/>
                <w:szCs w:val="1"/>
                <w:color w:val="auto"/>
              </w:rPr>
            </w:pPr>
          </w:p>
        </w:tc>
      </w:tr>
      <w:tr>
        <w:trPr>
          <w:trHeight w:val="123"/>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0"/>
                <w:szCs w:val="10"/>
                <w:b w:val="1"/>
                <w:bCs w:val="1"/>
                <w:color w:val="auto"/>
              </w:rPr>
              <w:t>Total interest-bearing deposits</w:t>
            </w:r>
          </w:p>
        </w:tc>
        <w:tc>
          <w:tcPr>
            <w:tcW w:w="9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8"/>
              </w:rPr>
              <w:t>4,461,256</w:t>
            </w: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3,310,220</w:t>
            </w:r>
          </w:p>
        </w:tc>
        <w:tc>
          <w:tcPr>
            <w:tcW w:w="10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3,318,716</w:t>
            </w:r>
          </w:p>
        </w:tc>
        <w:tc>
          <w:tcPr>
            <w:tcW w:w="0" w:type="dxa"/>
            <w:vAlign w:val="bottom"/>
          </w:tcPr>
          <w:p>
            <w:pPr>
              <w:spacing w:after="0"/>
              <w:rPr>
                <w:sz w:val="1"/>
                <w:szCs w:val="1"/>
                <w:color w:val="auto"/>
              </w:rPr>
            </w:pPr>
          </w:p>
        </w:tc>
      </w:tr>
      <w:tr>
        <w:trPr>
          <w:trHeight w:val="141"/>
        </w:trPr>
        <w:tc>
          <w:tcPr>
            <w:tcW w:w="6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0"/>
                <w:szCs w:val="10"/>
                <w:b w:val="1"/>
                <w:bCs w:val="1"/>
                <w:color w:val="auto"/>
              </w:rPr>
              <w:t>Total deposits</w:t>
            </w:r>
          </w:p>
        </w:tc>
        <w:tc>
          <w:tcPr>
            <w:tcW w:w="98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8"/>
              </w:rPr>
              <w:t>5,803,448</w:t>
            </w:r>
          </w:p>
        </w:tc>
        <w:tc>
          <w:tcPr>
            <w:tcW w:w="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4,359,263</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4,384,590</w:t>
            </w:r>
          </w:p>
        </w:tc>
        <w:tc>
          <w:tcPr>
            <w:tcW w:w="0" w:type="dxa"/>
            <w:vAlign w:val="bottom"/>
          </w:tcPr>
          <w:p>
            <w:pPr>
              <w:spacing w:after="0"/>
              <w:rPr>
                <w:sz w:val="1"/>
                <w:szCs w:val="1"/>
                <w:color w:val="auto"/>
              </w:rPr>
            </w:pPr>
          </w:p>
        </w:tc>
      </w:tr>
    </w:tbl>
    <w:p>
      <w:pPr>
        <w:sectPr>
          <w:pgSz w:w="11900" w:h="16838" w:orient="portrait"/>
          <w:cols w:equalWidth="0" w:num="1">
            <w:col w:w="11300"/>
          </w:cols>
          <w:pgMar w:left="300" w:top="135" w:right="299" w:bottom="1440" w:gutter="0" w:footer="0" w:header="0"/>
        </w:sectPr>
      </w:pPr>
    </w:p>
    <w:bookmarkStart w:id="13" w:name="page14"/>
    <w:bookmarkEnd w:id="13"/>
    <w:p>
      <w:pPr>
        <w:ind w:left="8"/>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Page 11</w:t>
      </w:r>
    </w:p>
    <w:p>
      <w:pPr>
        <w:spacing w:after="0" w:line="200" w:lineRule="exact"/>
        <w:rPr>
          <w:sz w:val="20"/>
          <w:szCs w:val="20"/>
          <w:color w:val="auto"/>
        </w:rPr>
      </w:pP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HBT Financial, Inc.</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Unaudited Consolidated Financial Summary</w:t>
      </w:r>
    </w:p>
    <w:p>
      <w:pPr>
        <w:spacing w:after="0" w:line="162" w:lineRule="exact"/>
        <w:rPr>
          <w:sz w:val="20"/>
          <w:szCs w:val="20"/>
          <w:color w:val="auto"/>
        </w:rPr>
      </w:pPr>
    </w:p>
    <w:tbl>
      <w:tblPr>
        <w:tblLayout w:type="fixed"/>
        <w:tblInd w:w="8" w:type="dxa"/>
        <w:tblCellMar>
          <w:top w:w="0" w:type="dxa"/>
          <w:left w:w="0" w:type="dxa"/>
          <w:bottom w:w="0" w:type="dxa"/>
          <w:right w:w="0" w:type="dxa"/>
        </w:tblCellMar>
      </w:tblPr>
      <w:tr>
        <w:trPr>
          <w:trHeight w:val="102"/>
        </w:trPr>
        <w:tc>
          <w:tcPr>
            <w:tcW w:w="2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b w:val="1"/>
                <w:bCs w:val="1"/>
                <w:color w:val="auto"/>
              </w:rPr>
              <w:t>Three Months Ended</w:t>
            </w:r>
          </w:p>
        </w:tc>
        <w:tc>
          <w:tcPr>
            <w:tcW w:w="9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5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7"/>
                <w:szCs w:val="7"/>
                <w:b w:val="1"/>
                <w:bCs w:val="1"/>
                <w:color w:val="auto"/>
              </w:rPr>
              <w:t>March 31, 2026</w:t>
            </w:r>
          </w:p>
        </w:tc>
        <w:tc>
          <w:tcPr>
            <w:tcW w:w="9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7"/>
                <w:szCs w:val="7"/>
                <w:b w:val="1"/>
                <w:bCs w:val="1"/>
                <w:color w:val="auto"/>
              </w:rPr>
              <w:t>December 31, 2025</w:t>
            </w:r>
          </w:p>
        </w:tc>
        <w:tc>
          <w:tcPr>
            <w:tcW w:w="9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7"/>
                <w:szCs w:val="7"/>
                <w:b w:val="1"/>
                <w:bCs w:val="1"/>
                <w:color w:val="auto"/>
              </w:rPr>
              <w:t>March 31, 2025</w:t>
            </w:r>
          </w:p>
        </w:tc>
        <w:tc>
          <w:tcPr>
            <w:tcW w:w="9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580" w:type="dxa"/>
            <w:vAlign w:val="bottom"/>
          </w:tcPr>
          <w:p>
            <w:pPr>
              <w:spacing w:after="0"/>
              <w:rPr>
                <w:sz w:val="20"/>
                <w:szCs w:val="20"/>
                <w:color w:val="auto"/>
              </w:rPr>
            </w:pPr>
            <w:r>
              <w:rPr>
                <w:rFonts w:ascii="Arial" w:cs="Arial" w:eastAsia="Arial" w:hAnsi="Arial"/>
                <w:sz w:val="7"/>
                <w:szCs w:val="7"/>
                <w:i w:val="1"/>
                <w:iCs w:val="1"/>
                <w:color w:val="auto"/>
              </w:rPr>
              <w:t>(dollars in thousands)</w:t>
            </w:r>
          </w:p>
        </w:tc>
        <w:tc>
          <w:tcPr>
            <w:tcW w:w="100" w:type="dxa"/>
            <w:vAlign w:val="bottom"/>
          </w:tcPr>
          <w:p>
            <w:pPr>
              <w:spacing w:after="0"/>
              <w:rPr>
                <w:sz w:val="8"/>
                <w:szCs w:val="8"/>
                <w:color w:val="auto"/>
              </w:rPr>
            </w:pPr>
          </w:p>
        </w:tc>
        <w:tc>
          <w:tcPr>
            <w:tcW w:w="760" w:type="dxa"/>
            <w:vAlign w:val="bottom"/>
          </w:tcPr>
          <w:p>
            <w:pPr>
              <w:jc w:val="right"/>
              <w:ind w:right="104"/>
              <w:spacing w:after="0"/>
              <w:rPr>
                <w:sz w:val="20"/>
                <w:szCs w:val="20"/>
                <w:color w:val="auto"/>
              </w:rPr>
            </w:pPr>
            <w:r>
              <w:rPr>
                <w:rFonts w:ascii="Arial" w:cs="Arial" w:eastAsia="Arial" w:hAnsi="Arial"/>
                <w:sz w:val="7"/>
                <w:szCs w:val="7"/>
                <w:b w:val="1"/>
                <w:bCs w:val="1"/>
                <w:color w:val="auto"/>
              </w:rPr>
              <w:t>Average Balance</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gridSpan w:val="2"/>
          </w:tcPr>
          <w:p>
            <w:pPr>
              <w:ind w:left="180"/>
              <w:spacing w:after="0"/>
              <w:rPr>
                <w:sz w:val="20"/>
                <w:szCs w:val="20"/>
                <w:color w:val="auto"/>
              </w:rPr>
            </w:pPr>
            <w:r>
              <w:rPr>
                <w:rFonts w:ascii="Arial" w:cs="Arial" w:eastAsia="Arial" w:hAnsi="Arial"/>
                <w:sz w:val="7"/>
                <w:szCs w:val="7"/>
                <w:b w:val="1"/>
                <w:bCs w:val="1"/>
                <w:color w:val="auto"/>
              </w:rPr>
              <w:t>Interest</w:t>
            </w:r>
          </w:p>
        </w:tc>
        <w:tc>
          <w:tcPr>
            <w:tcW w:w="1060" w:type="dxa"/>
            <w:vAlign w:val="bottom"/>
            <w:gridSpan w:val="2"/>
          </w:tcPr>
          <w:p>
            <w:pPr>
              <w:ind w:left="280"/>
              <w:spacing w:after="0"/>
              <w:rPr>
                <w:sz w:val="20"/>
                <w:szCs w:val="20"/>
                <w:color w:val="auto"/>
              </w:rPr>
            </w:pPr>
            <w:r>
              <w:rPr>
                <w:rFonts w:ascii="Arial" w:cs="Arial" w:eastAsia="Arial" w:hAnsi="Arial"/>
                <w:sz w:val="7"/>
                <w:szCs w:val="7"/>
                <w:b w:val="1"/>
                <w:bCs w:val="1"/>
                <w:color w:val="auto"/>
              </w:rPr>
              <w:t>Yield/Cost *</w:t>
            </w:r>
          </w:p>
        </w:tc>
        <w:tc>
          <w:tcPr>
            <w:tcW w:w="80" w:type="dxa"/>
            <w:vAlign w:val="bottom"/>
          </w:tcPr>
          <w:p>
            <w:pPr>
              <w:spacing w:after="0"/>
              <w:rPr>
                <w:sz w:val="8"/>
                <w:szCs w:val="8"/>
                <w:color w:val="auto"/>
              </w:rPr>
            </w:pPr>
          </w:p>
        </w:tc>
        <w:tc>
          <w:tcPr>
            <w:tcW w:w="740" w:type="dxa"/>
            <w:vAlign w:val="bottom"/>
          </w:tcPr>
          <w:p>
            <w:pPr>
              <w:jc w:val="right"/>
              <w:ind w:right="84"/>
              <w:spacing w:after="0"/>
              <w:rPr>
                <w:sz w:val="20"/>
                <w:szCs w:val="20"/>
                <w:color w:val="auto"/>
              </w:rPr>
            </w:pPr>
            <w:r>
              <w:rPr>
                <w:rFonts w:ascii="Arial" w:cs="Arial" w:eastAsia="Arial" w:hAnsi="Arial"/>
                <w:sz w:val="7"/>
                <w:szCs w:val="7"/>
                <w:b w:val="1"/>
                <w:bCs w:val="1"/>
                <w:color w:val="auto"/>
              </w:rPr>
              <w:t>Average Balance</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tcPr>
          <w:p>
            <w:pPr>
              <w:ind w:left="180"/>
              <w:spacing w:after="0"/>
              <w:rPr>
                <w:sz w:val="20"/>
                <w:szCs w:val="20"/>
                <w:color w:val="auto"/>
              </w:rPr>
            </w:pPr>
            <w:r>
              <w:rPr>
                <w:rFonts w:ascii="Arial" w:cs="Arial" w:eastAsia="Arial" w:hAnsi="Arial"/>
                <w:sz w:val="7"/>
                <w:szCs w:val="7"/>
                <w:b w:val="1"/>
                <w:bCs w:val="1"/>
                <w:color w:val="auto"/>
              </w:rPr>
              <w:t>Interest</w:t>
            </w:r>
          </w:p>
        </w:tc>
        <w:tc>
          <w:tcPr>
            <w:tcW w:w="1060" w:type="dxa"/>
            <w:vAlign w:val="bottom"/>
            <w:gridSpan w:val="2"/>
          </w:tcPr>
          <w:p>
            <w:pPr>
              <w:ind w:left="300"/>
              <w:spacing w:after="0"/>
              <w:rPr>
                <w:sz w:val="20"/>
                <w:szCs w:val="20"/>
                <w:color w:val="auto"/>
              </w:rPr>
            </w:pPr>
            <w:r>
              <w:rPr>
                <w:rFonts w:ascii="Arial" w:cs="Arial" w:eastAsia="Arial" w:hAnsi="Arial"/>
                <w:sz w:val="7"/>
                <w:szCs w:val="7"/>
                <w:b w:val="1"/>
                <w:bCs w:val="1"/>
                <w:color w:val="auto"/>
              </w:rPr>
              <w:t>Yield/Cost *</w:t>
            </w:r>
          </w:p>
        </w:tc>
        <w:tc>
          <w:tcPr>
            <w:tcW w:w="120" w:type="dxa"/>
            <w:vAlign w:val="bottom"/>
          </w:tcPr>
          <w:p>
            <w:pPr>
              <w:spacing w:after="0"/>
              <w:rPr>
                <w:sz w:val="8"/>
                <w:szCs w:val="8"/>
                <w:color w:val="auto"/>
              </w:rPr>
            </w:pPr>
          </w:p>
        </w:tc>
        <w:tc>
          <w:tcPr>
            <w:tcW w:w="780" w:type="dxa"/>
            <w:vAlign w:val="bottom"/>
          </w:tcPr>
          <w:p>
            <w:pPr>
              <w:jc w:val="right"/>
              <w:ind w:right="124"/>
              <w:spacing w:after="0"/>
              <w:rPr>
                <w:sz w:val="20"/>
                <w:szCs w:val="20"/>
                <w:color w:val="auto"/>
              </w:rPr>
            </w:pPr>
            <w:r>
              <w:rPr>
                <w:rFonts w:ascii="Arial" w:cs="Arial" w:eastAsia="Arial" w:hAnsi="Arial"/>
                <w:sz w:val="7"/>
                <w:szCs w:val="7"/>
                <w:b w:val="1"/>
                <w:bCs w:val="1"/>
                <w:color w:val="auto"/>
              </w:rPr>
              <w:t>Average Balance</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tcPr>
          <w:p>
            <w:pPr>
              <w:ind w:left="180"/>
              <w:spacing w:after="0"/>
              <w:rPr>
                <w:sz w:val="20"/>
                <w:szCs w:val="20"/>
                <w:color w:val="auto"/>
              </w:rPr>
            </w:pPr>
            <w:r>
              <w:rPr>
                <w:rFonts w:ascii="Arial" w:cs="Arial" w:eastAsia="Arial" w:hAnsi="Arial"/>
                <w:sz w:val="7"/>
                <w:szCs w:val="7"/>
                <w:b w:val="1"/>
                <w:bCs w:val="1"/>
                <w:color w:val="auto"/>
              </w:rPr>
              <w:t>Interest</w:t>
            </w:r>
          </w:p>
        </w:tc>
        <w:tc>
          <w:tcPr>
            <w:tcW w:w="940" w:type="dxa"/>
            <w:vAlign w:val="bottom"/>
          </w:tcPr>
          <w:p>
            <w:pPr>
              <w:ind w:left="260"/>
              <w:spacing w:after="0"/>
              <w:rPr>
                <w:sz w:val="20"/>
                <w:szCs w:val="20"/>
                <w:color w:val="auto"/>
              </w:rPr>
            </w:pPr>
            <w:r>
              <w:rPr>
                <w:rFonts w:ascii="Arial" w:cs="Arial" w:eastAsia="Arial" w:hAnsi="Arial"/>
                <w:sz w:val="7"/>
                <w:szCs w:val="7"/>
                <w:b w:val="1"/>
                <w:bCs w:val="1"/>
                <w:color w:val="auto"/>
              </w:rPr>
              <w:t>Yield/Cost *</w:t>
            </w:r>
          </w:p>
        </w:tc>
        <w:tc>
          <w:tcPr>
            <w:tcW w:w="0" w:type="dxa"/>
            <w:vAlign w:val="bottom"/>
          </w:tcPr>
          <w:p>
            <w:pPr>
              <w:spacing w:after="0"/>
              <w:rPr>
                <w:sz w:val="1"/>
                <w:szCs w:val="1"/>
                <w:color w:val="auto"/>
              </w:rPr>
            </w:pPr>
          </w:p>
        </w:tc>
      </w:tr>
      <w:tr>
        <w:trPr>
          <w:trHeight w:val="21"/>
        </w:trPr>
        <w:tc>
          <w:tcPr>
            <w:tcW w:w="25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580" w:type="dxa"/>
            <w:vAlign w:val="bottom"/>
            <w:shd w:val="clear" w:color="auto" w:fill="CCEEFF"/>
          </w:tcPr>
          <w:p>
            <w:pPr>
              <w:spacing w:after="0"/>
              <w:rPr>
                <w:sz w:val="20"/>
                <w:szCs w:val="20"/>
                <w:color w:val="auto"/>
              </w:rPr>
            </w:pPr>
            <w:r>
              <w:rPr>
                <w:rFonts w:ascii="Arial" w:cs="Arial" w:eastAsia="Arial" w:hAnsi="Arial"/>
                <w:sz w:val="7"/>
                <w:szCs w:val="7"/>
                <w:b w:val="1"/>
                <w:bCs w:val="1"/>
                <w:color w:val="auto"/>
              </w:rPr>
              <w:t>ASSETS</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80" w:type="dxa"/>
            <w:vAlign w:val="bottom"/>
          </w:tcPr>
          <w:p>
            <w:pPr>
              <w:ind w:left="60"/>
              <w:spacing w:after="0"/>
              <w:rPr>
                <w:sz w:val="20"/>
                <w:szCs w:val="20"/>
                <w:color w:val="auto"/>
              </w:rPr>
            </w:pPr>
            <w:r>
              <w:rPr>
                <w:rFonts w:ascii="Arial" w:cs="Arial" w:eastAsia="Arial" w:hAnsi="Arial"/>
                <w:sz w:val="7"/>
                <w:szCs w:val="7"/>
                <w:color w:val="auto"/>
              </w:rPr>
              <w:t>Loans</w:t>
            </w: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spacing w:after="0"/>
              <w:rPr>
                <w:sz w:val="20"/>
                <w:szCs w:val="20"/>
                <w:color w:val="auto"/>
              </w:rPr>
            </w:pPr>
            <w:r>
              <w:rPr>
                <w:rFonts w:ascii="Arial" w:cs="Arial" w:eastAsia="Arial" w:hAnsi="Arial"/>
                <w:sz w:val="7"/>
                <w:szCs w:val="7"/>
                <w:color w:val="auto"/>
              </w:rPr>
              <w:t>3,890,388</w:t>
            </w:r>
          </w:p>
        </w:tc>
        <w:tc>
          <w:tcPr>
            <w:tcW w:w="220" w:type="dxa"/>
            <w:vAlign w:val="bottom"/>
            <w:gridSpan w:val="2"/>
          </w:tcPr>
          <w:p>
            <w:pPr>
              <w:jc w:val="right"/>
              <w:ind w:right="80"/>
              <w:spacing w:after="0"/>
              <w:rPr>
                <w:sz w:val="20"/>
                <w:szCs w:val="20"/>
                <w:color w:val="auto"/>
              </w:rPr>
            </w:pPr>
            <w:r>
              <w:rPr>
                <w:rFonts w:ascii="Arial" w:cs="Arial" w:eastAsia="Arial" w:hAnsi="Arial"/>
                <w:sz w:val="7"/>
                <w:szCs w:val="7"/>
                <w:color w:val="auto"/>
              </w:rPr>
              <w:t>$</w:t>
            </w: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60,198</w:t>
            </w:r>
          </w:p>
        </w:tc>
        <w:tc>
          <w:tcPr>
            <w:tcW w:w="80" w:type="dxa"/>
            <w:vAlign w:val="bottom"/>
          </w:tcPr>
          <w:p>
            <w:pPr>
              <w:spacing w:after="0"/>
              <w:rPr>
                <w:sz w:val="8"/>
                <w:szCs w:val="8"/>
                <w:color w:val="auto"/>
              </w:rPr>
            </w:pPr>
          </w:p>
        </w:tc>
        <w:tc>
          <w:tcPr>
            <w:tcW w:w="980" w:type="dxa"/>
            <w:vAlign w:val="bottom"/>
          </w:tcPr>
          <w:p>
            <w:pPr>
              <w:ind w:left="740"/>
              <w:spacing w:after="0"/>
              <w:rPr>
                <w:sz w:val="20"/>
                <w:szCs w:val="20"/>
                <w:color w:val="auto"/>
              </w:rPr>
            </w:pPr>
            <w:r>
              <w:rPr>
                <w:rFonts w:ascii="Arial" w:cs="Arial" w:eastAsia="Arial" w:hAnsi="Arial"/>
                <w:sz w:val="7"/>
                <w:szCs w:val="7"/>
                <w:color w:val="auto"/>
              </w:rPr>
              <w:t>6.28 %</w:t>
            </w:r>
          </w:p>
        </w:tc>
        <w:tc>
          <w:tcPr>
            <w:tcW w:w="80" w:type="dxa"/>
            <w:vAlign w:val="bottom"/>
          </w:tcPr>
          <w:p>
            <w:pPr>
              <w:spacing w:after="0"/>
              <w:rPr>
                <w:sz w:val="8"/>
                <w:szCs w:val="8"/>
                <w:color w:val="auto"/>
              </w:rPr>
            </w:pPr>
          </w:p>
        </w:tc>
        <w:tc>
          <w:tcPr>
            <w:tcW w:w="80" w:type="dxa"/>
            <w:vAlign w:val="bottom"/>
          </w:tcPr>
          <w:p>
            <w:pPr>
              <w:jc w:val="right"/>
              <w:ind w:right="16"/>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3,432,308</w:t>
            </w:r>
          </w:p>
        </w:tc>
        <w:tc>
          <w:tcPr>
            <w:tcW w:w="180" w:type="dxa"/>
            <w:vAlign w:val="bottom"/>
            <w:gridSpan w:val="2"/>
          </w:tcPr>
          <w:p>
            <w:pPr>
              <w:jc w:val="right"/>
              <w:ind w:right="40"/>
              <w:spacing w:after="0"/>
              <w:rPr>
                <w:sz w:val="20"/>
                <w:szCs w:val="20"/>
                <w:color w:val="auto"/>
              </w:rPr>
            </w:pPr>
            <w:r>
              <w:rPr>
                <w:rFonts w:ascii="Arial" w:cs="Arial" w:eastAsia="Arial" w:hAnsi="Arial"/>
                <w:sz w:val="7"/>
                <w:szCs w:val="7"/>
                <w:color w:val="auto"/>
              </w:rPr>
              <w:t>$</w:t>
            </w:r>
          </w:p>
        </w:tc>
        <w:tc>
          <w:tcPr>
            <w:tcW w:w="720" w:type="dxa"/>
            <w:vAlign w:val="bottom"/>
          </w:tcPr>
          <w:p>
            <w:pPr>
              <w:jc w:val="right"/>
              <w:ind w:right="4"/>
              <w:spacing w:after="0"/>
              <w:rPr>
                <w:sz w:val="20"/>
                <w:szCs w:val="20"/>
                <w:color w:val="auto"/>
              </w:rPr>
            </w:pPr>
            <w:r>
              <w:rPr>
                <w:rFonts w:ascii="Arial" w:cs="Arial" w:eastAsia="Arial" w:hAnsi="Arial"/>
                <w:sz w:val="7"/>
                <w:szCs w:val="7"/>
                <w:color w:val="auto"/>
              </w:rPr>
              <w:t>53,850</w:t>
            </w:r>
          </w:p>
        </w:tc>
        <w:tc>
          <w:tcPr>
            <w:tcW w:w="80" w:type="dxa"/>
            <w:vAlign w:val="bottom"/>
          </w:tcPr>
          <w:p>
            <w:pPr>
              <w:spacing w:after="0"/>
              <w:rPr>
                <w:sz w:val="8"/>
                <w:szCs w:val="8"/>
                <w:color w:val="auto"/>
              </w:rPr>
            </w:pPr>
          </w:p>
        </w:tc>
        <w:tc>
          <w:tcPr>
            <w:tcW w:w="980" w:type="dxa"/>
            <w:vAlign w:val="bottom"/>
          </w:tcPr>
          <w:p>
            <w:pPr>
              <w:jc w:val="right"/>
              <w:spacing w:after="0"/>
              <w:rPr>
                <w:sz w:val="20"/>
                <w:szCs w:val="20"/>
                <w:color w:val="auto"/>
              </w:rPr>
            </w:pPr>
            <w:r>
              <w:rPr>
                <w:rFonts w:ascii="Arial" w:cs="Arial" w:eastAsia="Arial" w:hAnsi="Arial"/>
                <w:sz w:val="7"/>
                <w:szCs w:val="7"/>
                <w:color w:val="auto"/>
              </w:rPr>
              <w:t>6.22 %</w:t>
            </w:r>
          </w:p>
        </w:tc>
        <w:tc>
          <w:tcPr>
            <w:tcW w:w="80" w:type="dxa"/>
            <w:vAlign w:val="bottom"/>
          </w:tcPr>
          <w:p>
            <w:pPr>
              <w:spacing w:after="0"/>
              <w:rPr>
                <w:sz w:val="8"/>
                <w:szCs w:val="8"/>
                <w:color w:val="auto"/>
              </w:rPr>
            </w:pPr>
          </w:p>
        </w:tc>
        <w:tc>
          <w:tcPr>
            <w:tcW w:w="120" w:type="dxa"/>
            <w:vAlign w:val="bottom"/>
          </w:tcPr>
          <w:p>
            <w:pPr>
              <w:jc w:val="right"/>
              <w:ind w:right="24"/>
              <w:spacing w:after="0"/>
              <w:rPr>
                <w:sz w:val="20"/>
                <w:szCs w:val="20"/>
                <w:color w:val="auto"/>
              </w:rPr>
            </w:pPr>
            <w:r>
              <w:rPr>
                <w:rFonts w:ascii="Arial" w:cs="Arial" w:eastAsia="Arial" w:hAnsi="Arial"/>
                <w:sz w:val="7"/>
                <w:szCs w:val="7"/>
                <w:color w:val="auto"/>
              </w:rPr>
              <w:t>$</w:t>
            </w: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3,460,906</w:t>
            </w:r>
          </w:p>
        </w:tc>
        <w:tc>
          <w:tcPr>
            <w:tcW w:w="220" w:type="dxa"/>
            <w:vAlign w:val="bottom"/>
            <w:gridSpan w:val="2"/>
          </w:tcPr>
          <w:p>
            <w:pPr>
              <w:jc w:val="right"/>
              <w:ind w:right="80"/>
              <w:spacing w:after="0"/>
              <w:rPr>
                <w:sz w:val="20"/>
                <w:szCs w:val="20"/>
                <w:color w:val="auto"/>
              </w:rPr>
            </w:pPr>
            <w:r>
              <w:rPr>
                <w:rFonts w:ascii="Arial" w:cs="Arial" w:eastAsia="Arial" w:hAnsi="Arial"/>
                <w:sz w:val="7"/>
                <w:szCs w:val="7"/>
                <w:color w:val="auto"/>
              </w:rPr>
              <w:t>$</w:t>
            </w:r>
          </w:p>
        </w:tc>
        <w:tc>
          <w:tcPr>
            <w:tcW w:w="740" w:type="dxa"/>
            <w:vAlign w:val="bottom"/>
          </w:tcPr>
          <w:p>
            <w:pPr>
              <w:jc w:val="right"/>
              <w:spacing w:after="0"/>
              <w:rPr>
                <w:sz w:val="20"/>
                <w:szCs w:val="20"/>
                <w:color w:val="auto"/>
              </w:rPr>
            </w:pPr>
            <w:r>
              <w:rPr>
                <w:rFonts w:ascii="Arial" w:cs="Arial" w:eastAsia="Arial" w:hAnsi="Arial"/>
                <w:sz w:val="7"/>
                <w:szCs w:val="7"/>
                <w:color w:val="auto"/>
              </w:rPr>
              <w:t>54,537</w:t>
            </w:r>
          </w:p>
        </w:tc>
        <w:tc>
          <w:tcPr>
            <w:tcW w:w="100" w:type="dxa"/>
            <w:vAlign w:val="bottom"/>
          </w:tcPr>
          <w:p>
            <w:pPr>
              <w:spacing w:after="0"/>
              <w:rPr>
                <w:sz w:val="8"/>
                <w:szCs w:val="8"/>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6.39 %</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60"/>
              <w:spacing w:after="0"/>
              <w:rPr>
                <w:sz w:val="20"/>
                <w:szCs w:val="20"/>
                <w:color w:val="auto"/>
              </w:rPr>
            </w:pPr>
            <w:r>
              <w:rPr>
                <w:rFonts w:ascii="Arial" w:cs="Arial" w:eastAsia="Arial" w:hAnsi="Arial"/>
                <w:sz w:val="7"/>
                <w:szCs w:val="7"/>
                <w:color w:val="auto"/>
              </w:rPr>
              <w:t>Debt securities</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1,375,875</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10,202</w:t>
            </w: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7"/>
                <w:szCs w:val="7"/>
                <w:color w:val="auto"/>
              </w:rPr>
              <w:t>3.01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1,249,183</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8,839</w:t>
            </w: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2.81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1,204,424</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7"/>
                <w:szCs w:val="7"/>
                <w:color w:val="auto"/>
              </w:rPr>
              <w:t>7,405</w:t>
            </w: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7"/>
                <w:szCs w:val="7"/>
                <w:color w:val="auto"/>
              </w:rPr>
              <w:t>2.49</w:t>
            </w:r>
          </w:p>
        </w:tc>
        <w:tc>
          <w:tcPr>
            <w:tcW w:w="0" w:type="dxa"/>
            <w:vAlign w:val="bottom"/>
          </w:tcPr>
          <w:p>
            <w:pPr>
              <w:spacing w:after="0"/>
              <w:rPr>
                <w:sz w:val="1"/>
                <w:szCs w:val="1"/>
                <w:color w:val="auto"/>
              </w:rPr>
            </w:pPr>
          </w:p>
        </w:tc>
      </w:tr>
      <w:tr>
        <w:trPr>
          <w:trHeight w:val="101"/>
        </w:trPr>
        <w:tc>
          <w:tcPr>
            <w:tcW w:w="2580" w:type="dxa"/>
            <w:vAlign w:val="bottom"/>
          </w:tcPr>
          <w:p>
            <w:pPr>
              <w:ind w:left="60"/>
              <w:spacing w:after="0"/>
              <w:rPr>
                <w:sz w:val="20"/>
                <w:szCs w:val="20"/>
                <w:color w:val="auto"/>
              </w:rPr>
            </w:pPr>
            <w:r>
              <w:rPr>
                <w:rFonts w:ascii="Arial" w:cs="Arial" w:eastAsia="Arial" w:hAnsi="Arial"/>
                <w:sz w:val="7"/>
                <w:szCs w:val="7"/>
                <w:color w:val="auto"/>
              </w:rPr>
              <w:t>Deposits with banks</w:t>
            </w:r>
          </w:p>
        </w:tc>
        <w:tc>
          <w:tcPr>
            <w:tcW w:w="10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163,761</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1,276</w:t>
            </w:r>
          </w:p>
        </w:tc>
        <w:tc>
          <w:tcPr>
            <w:tcW w:w="80" w:type="dxa"/>
            <w:vAlign w:val="bottom"/>
          </w:tcPr>
          <w:p>
            <w:pPr>
              <w:spacing w:after="0"/>
              <w:rPr>
                <w:sz w:val="8"/>
                <w:szCs w:val="8"/>
                <w:color w:val="auto"/>
              </w:rPr>
            </w:pPr>
          </w:p>
        </w:tc>
        <w:tc>
          <w:tcPr>
            <w:tcW w:w="980" w:type="dxa"/>
            <w:vAlign w:val="bottom"/>
          </w:tcPr>
          <w:p>
            <w:pPr>
              <w:ind w:left="740"/>
              <w:spacing w:after="0"/>
              <w:rPr>
                <w:sz w:val="20"/>
                <w:szCs w:val="20"/>
                <w:color w:val="auto"/>
              </w:rPr>
            </w:pPr>
            <w:r>
              <w:rPr>
                <w:rFonts w:ascii="Arial" w:cs="Arial" w:eastAsia="Arial" w:hAnsi="Arial"/>
                <w:sz w:val="7"/>
                <w:szCs w:val="7"/>
                <w:color w:val="auto"/>
              </w:rPr>
              <w:t>3.16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177,348</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ind w:right="4"/>
              <w:spacing w:after="0"/>
              <w:rPr>
                <w:sz w:val="20"/>
                <w:szCs w:val="20"/>
                <w:color w:val="auto"/>
              </w:rPr>
            </w:pPr>
            <w:r>
              <w:rPr>
                <w:rFonts w:ascii="Arial" w:cs="Arial" w:eastAsia="Arial" w:hAnsi="Arial"/>
                <w:sz w:val="7"/>
                <w:szCs w:val="7"/>
                <w:color w:val="auto"/>
              </w:rPr>
              <w:t>1,543</w:t>
            </w:r>
          </w:p>
        </w:tc>
        <w:tc>
          <w:tcPr>
            <w:tcW w:w="80" w:type="dxa"/>
            <w:vAlign w:val="bottom"/>
          </w:tcPr>
          <w:p>
            <w:pPr>
              <w:spacing w:after="0"/>
              <w:rPr>
                <w:sz w:val="8"/>
                <w:szCs w:val="8"/>
                <w:color w:val="auto"/>
              </w:rPr>
            </w:pPr>
          </w:p>
        </w:tc>
        <w:tc>
          <w:tcPr>
            <w:tcW w:w="980" w:type="dxa"/>
            <w:vAlign w:val="bottom"/>
          </w:tcPr>
          <w:p>
            <w:pPr>
              <w:jc w:val="right"/>
              <w:ind w:right="64"/>
              <w:spacing w:after="0"/>
              <w:rPr>
                <w:sz w:val="20"/>
                <w:szCs w:val="20"/>
                <w:color w:val="auto"/>
              </w:rPr>
            </w:pPr>
            <w:r>
              <w:rPr>
                <w:rFonts w:ascii="Arial" w:cs="Arial" w:eastAsia="Arial" w:hAnsi="Arial"/>
                <w:sz w:val="7"/>
                <w:szCs w:val="7"/>
                <w:color w:val="auto"/>
              </w:rPr>
              <w:t>3.45</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120,014</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1,065</w:t>
            </w:r>
          </w:p>
        </w:tc>
        <w:tc>
          <w:tcPr>
            <w:tcW w:w="100" w:type="dxa"/>
            <w:vAlign w:val="bottom"/>
          </w:tcPr>
          <w:p>
            <w:pPr>
              <w:spacing w:after="0"/>
              <w:rPr>
                <w:sz w:val="8"/>
                <w:szCs w:val="8"/>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3.60</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60"/>
              <w:spacing w:after="0"/>
              <w:rPr>
                <w:sz w:val="20"/>
                <w:szCs w:val="20"/>
                <w:color w:val="auto"/>
              </w:rPr>
            </w:pPr>
            <w:r>
              <w:rPr>
                <w:rFonts w:ascii="Arial" w:cs="Arial" w:eastAsia="Arial" w:hAnsi="Arial"/>
                <w:sz w:val="7"/>
                <w:szCs w:val="7"/>
                <w:color w:val="auto"/>
              </w:rPr>
              <w:t>Other</w:t>
            </w: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14,389</w:t>
            </w:r>
          </w:p>
        </w:tc>
        <w:tc>
          <w:tcPr>
            <w:tcW w:w="8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163</w:t>
            </w:r>
          </w:p>
        </w:tc>
        <w:tc>
          <w:tcPr>
            <w:tcW w:w="8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7"/>
                <w:szCs w:val="7"/>
                <w:color w:val="auto"/>
              </w:rPr>
              <w:t>4.60</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12,481</w:t>
            </w: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159</w:t>
            </w:r>
          </w:p>
        </w:tc>
        <w:tc>
          <w:tcPr>
            <w:tcW w:w="8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5.05</w:t>
            </w:r>
          </w:p>
        </w:tc>
        <w:tc>
          <w:tcPr>
            <w:tcW w:w="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12,677</w:t>
            </w:r>
          </w:p>
        </w:tc>
        <w:tc>
          <w:tcPr>
            <w:tcW w:w="8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131</w:t>
            </w:r>
          </w:p>
        </w:tc>
        <w:tc>
          <w:tcPr>
            <w:tcW w:w="100" w:type="dxa"/>
            <w:vAlign w:val="bottom"/>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7"/>
                <w:szCs w:val="7"/>
                <w:color w:val="auto"/>
              </w:rPr>
              <w:t>4.19</w:t>
            </w:r>
          </w:p>
        </w:tc>
        <w:tc>
          <w:tcPr>
            <w:tcW w:w="0" w:type="dxa"/>
            <w:vAlign w:val="bottom"/>
          </w:tcPr>
          <w:p>
            <w:pPr>
              <w:spacing w:after="0"/>
              <w:rPr>
                <w:sz w:val="1"/>
                <w:szCs w:val="1"/>
                <w:color w:val="auto"/>
              </w:rPr>
            </w:pPr>
          </w:p>
        </w:tc>
      </w:tr>
      <w:tr>
        <w:trPr>
          <w:trHeight w:val="90"/>
        </w:trPr>
        <w:tc>
          <w:tcPr>
            <w:tcW w:w="2580" w:type="dxa"/>
            <w:vAlign w:val="bottom"/>
          </w:tcPr>
          <w:p>
            <w:pPr>
              <w:ind w:left="120"/>
              <w:spacing w:after="0"/>
              <w:rPr>
                <w:sz w:val="20"/>
                <w:szCs w:val="20"/>
                <w:color w:val="auto"/>
              </w:rPr>
            </w:pPr>
            <w:r>
              <w:rPr>
                <w:rFonts w:ascii="Arial" w:cs="Arial" w:eastAsia="Arial" w:hAnsi="Arial"/>
                <w:sz w:val="7"/>
                <w:szCs w:val="7"/>
                <w:color w:val="auto"/>
              </w:rPr>
              <w:t>Total interest-earning assets</w:t>
            </w:r>
          </w:p>
        </w:tc>
        <w:tc>
          <w:tcPr>
            <w:tcW w:w="100" w:type="dxa"/>
            <w:vAlign w:val="bottom"/>
          </w:tcPr>
          <w:p>
            <w:pPr>
              <w:spacing w:after="0"/>
              <w:rPr>
                <w:sz w:val="7"/>
                <w:szCs w:val="7"/>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5,444,413</w:t>
            </w:r>
          </w:p>
        </w:tc>
        <w:tc>
          <w:tcPr>
            <w:tcW w:w="220" w:type="dxa"/>
            <w:vAlign w:val="bottom"/>
            <w:gridSpan w:val="2"/>
          </w:tcPr>
          <w:p>
            <w:pPr>
              <w:jc w:val="right"/>
              <w:ind w:right="80"/>
              <w:spacing w:after="0"/>
              <w:rPr>
                <w:sz w:val="20"/>
                <w:szCs w:val="20"/>
                <w:color w:val="auto"/>
              </w:rPr>
            </w:pPr>
            <w:r>
              <w:rPr>
                <w:rFonts w:ascii="Arial" w:cs="Arial" w:eastAsia="Arial" w:hAnsi="Arial"/>
                <w:sz w:val="7"/>
                <w:szCs w:val="7"/>
                <w:color w:val="auto"/>
              </w:rPr>
              <w:t>$</w:t>
            </w: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71,839</w:t>
            </w:r>
          </w:p>
        </w:tc>
        <w:tc>
          <w:tcPr>
            <w:tcW w:w="80" w:type="dxa"/>
            <w:vAlign w:val="bottom"/>
          </w:tcPr>
          <w:p>
            <w:pPr>
              <w:spacing w:after="0"/>
              <w:rPr>
                <w:sz w:val="7"/>
                <w:szCs w:val="7"/>
                <w:color w:val="auto"/>
              </w:rPr>
            </w:pPr>
          </w:p>
        </w:tc>
        <w:tc>
          <w:tcPr>
            <w:tcW w:w="980" w:type="dxa"/>
            <w:vAlign w:val="bottom"/>
          </w:tcPr>
          <w:p>
            <w:pPr>
              <w:ind w:left="740"/>
              <w:spacing w:after="0"/>
              <w:rPr>
                <w:sz w:val="20"/>
                <w:szCs w:val="20"/>
                <w:color w:val="auto"/>
              </w:rPr>
            </w:pPr>
            <w:r>
              <w:rPr>
                <w:rFonts w:ascii="Arial" w:cs="Arial" w:eastAsia="Arial" w:hAnsi="Arial"/>
                <w:sz w:val="7"/>
                <w:szCs w:val="7"/>
                <w:color w:val="auto"/>
              </w:rPr>
              <w:t>5.35 %</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4,871,320</w:t>
            </w:r>
          </w:p>
        </w:tc>
        <w:tc>
          <w:tcPr>
            <w:tcW w:w="180" w:type="dxa"/>
            <w:vAlign w:val="bottom"/>
            <w:gridSpan w:val="2"/>
          </w:tcPr>
          <w:p>
            <w:pPr>
              <w:jc w:val="right"/>
              <w:ind w:right="40"/>
              <w:spacing w:after="0"/>
              <w:rPr>
                <w:sz w:val="20"/>
                <w:szCs w:val="20"/>
                <w:color w:val="auto"/>
              </w:rPr>
            </w:pPr>
            <w:r>
              <w:rPr>
                <w:rFonts w:ascii="Arial" w:cs="Arial" w:eastAsia="Arial" w:hAnsi="Arial"/>
                <w:sz w:val="7"/>
                <w:szCs w:val="7"/>
                <w:color w:val="auto"/>
              </w:rPr>
              <w:t>$</w:t>
            </w:r>
          </w:p>
        </w:tc>
        <w:tc>
          <w:tcPr>
            <w:tcW w:w="720" w:type="dxa"/>
            <w:vAlign w:val="bottom"/>
          </w:tcPr>
          <w:p>
            <w:pPr>
              <w:jc w:val="right"/>
              <w:ind w:right="4"/>
              <w:spacing w:after="0"/>
              <w:rPr>
                <w:sz w:val="20"/>
                <w:szCs w:val="20"/>
                <w:color w:val="auto"/>
              </w:rPr>
            </w:pPr>
            <w:r>
              <w:rPr>
                <w:rFonts w:ascii="Arial" w:cs="Arial" w:eastAsia="Arial" w:hAnsi="Arial"/>
                <w:sz w:val="7"/>
                <w:szCs w:val="7"/>
                <w:color w:val="auto"/>
              </w:rPr>
              <w:t>64,391</w:t>
            </w:r>
          </w:p>
        </w:tc>
        <w:tc>
          <w:tcPr>
            <w:tcW w:w="80" w:type="dxa"/>
            <w:vAlign w:val="bottom"/>
          </w:tcPr>
          <w:p>
            <w:pPr>
              <w:spacing w:after="0"/>
              <w:rPr>
                <w:sz w:val="7"/>
                <w:szCs w:val="7"/>
                <w:color w:val="auto"/>
              </w:rPr>
            </w:pPr>
          </w:p>
        </w:tc>
        <w:tc>
          <w:tcPr>
            <w:tcW w:w="980" w:type="dxa"/>
            <w:vAlign w:val="bottom"/>
          </w:tcPr>
          <w:p>
            <w:pPr>
              <w:jc w:val="right"/>
              <w:spacing w:after="0"/>
              <w:rPr>
                <w:sz w:val="20"/>
                <w:szCs w:val="20"/>
                <w:color w:val="auto"/>
              </w:rPr>
            </w:pPr>
            <w:r>
              <w:rPr>
                <w:rFonts w:ascii="Arial" w:cs="Arial" w:eastAsia="Arial" w:hAnsi="Arial"/>
                <w:sz w:val="7"/>
                <w:szCs w:val="7"/>
                <w:color w:val="auto"/>
              </w:rPr>
              <w:t>5.24 %</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4,798,021</w:t>
            </w:r>
          </w:p>
        </w:tc>
        <w:tc>
          <w:tcPr>
            <w:tcW w:w="220" w:type="dxa"/>
            <w:vAlign w:val="bottom"/>
            <w:gridSpan w:val="2"/>
          </w:tcPr>
          <w:p>
            <w:pPr>
              <w:jc w:val="right"/>
              <w:ind w:right="80"/>
              <w:spacing w:after="0"/>
              <w:rPr>
                <w:sz w:val="20"/>
                <w:szCs w:val="20"/>
                <w:color w:val="auto"/>
              </w:rPr>
            </w:pPr>
            <w:r>
              <w:rPr>
                <w:rFonts w:ascii="Arial" w:cs="Arial" w:eastAsia="Arial" w:hAnsi="Arial"/>
                <w:sz w:val="7"/>
                <w:szCs w:val="7"/>
                <w:color w:val="auto"/>
              </w:rPr>
              <w:t>$</w:t>
            </w:r>
          </w:p>
        </w:tc>
        <w:tc>
          <w:tcPr>
            <w:tcW w:w="740" w:type="dxa"/>
            <w:vAlign w:val="bottom"/>
          </w:tcPr>
          <w:p>
            <w:pPr>
              <w:jc w:val="right"/>
              <w:spacing w:after="0"/>
              <w:rPr>
                <w:sz w:val="20"/>
                <w:szCs w:val="20"/>
                <w:color w:val="auto"/>
              </w:rPr>
            </w:pPr>
            <w:r>
              <w:rPr>
                <w:rFonts w:ascii="Arial" w:cs="Arial" w:eastAsia="Arial" w:hAnsi="Arial"/>
                <w:sz w:val="7"/>
                <w:szCs w:val="7"/>
                <w:color w:val="auto"/>
              </w:rPr>
              <w:t>63,138</w:t>
            </w:r>
          </w:p>
        </w:tc>
        <w:tc>
          <w:tcPr>
            <w:tcW w:w="100" w:type="dxa"/>
            <w:vAlign w:val="bottom"/>
          </w:tcPr>
          <w:p>
            <w:pPr>
              <w:spacing w:after="0"/>
              <w:rPr>
                <w:sz w:val="7"/>
                <w:szCs w:val="7"/>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5.34 %</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60"/>
              <w:spacing w:after="0"/>
              <w:rPr>
                <w:sz w:val="20"/>
                <w:szCs w:val="20"/>
                <w:color w:val="auto"/>
              </w:rPr>
            </w:pPr>
            <w:r>
              <w:rPr>
                <w:rFonts w:ascii="Arial" w:cs="Arial" w:eastAsia="Arial" w:hAnsi="Arial"/>
                <w:sz w:val="7"/>
                <w:szCs w:val="7"/>
                <w:color w:val="auto"/>
              </w:rPr>
              <w:t>Allowance for credit losses</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(48,362)</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7"/>
                <w:szCs w:val="7"/>
                <w:color w:val="auto"/>
              </w:rPr>
              <w:t>(41,994)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7"/>
                <w:szCs w:val="7"/>
                <w:color w:val="auto"/>
              </w:rPr>
              <w:t>(42,061)</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580" w:type="dxa"/>
            <w:vAlign w:val="bottom"/>
            <w:tcBorders>
              <w:bottom w:val="single" w:sz="8" w:color="CCEEFF"/>
            </w:tcBorders>
          </w:tcPr>
          <w:p>
            <w:pPr>
              <w:ind w:left="60"/>
              <w:spacing w:after="0"/>
              <w:rPr>
                <w:sz w:val="20"/>
                <w:szCs w:val="20"/>
                <w:color w:val="auto"/>
              </w:rPr>
            </w:pPr>
            <w:r>
              <w:rPr>
                <w:rFonts w:ascii="Arial" w:cs="Arial" w:eastAsia="Arial" w:hAnsi="Arial"/>
                <w:sz w:val="7"/>
                <w:szCs w:val="7"/>
                <w:color w:val="auto"/>
              </w:rPr>
              <w:t>Noninterest-earning assets</w:t>
            </w: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317,393</w:t>
            </w:r>
          </w:p>
        </w:tc>
        <w:tc>
          <w:tcPr>
            <w:tcW w:w="8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74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98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269,949</w:t>
            </w: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72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98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276,853</w:t>
            </w:r>
          </w:p>
        </w:tc>
        <w:tc>
          <w:tcPr>
            <w:tcW w:w="8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74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9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2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7"/>
                <w:szCs w:val="7"/>
                <w:b w:val="1"/>
                <w:bCs w:val="1"/>
                <w:color w:val="auto"/>
              </w:rPr>
              <w:t>Total assets</w:t>
            </w:r>
          </w:p>
        </w:tc>
        <w:tc>
          <w:tcPr>
            <w:tcW w:w="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5,713,444</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5,099,275</w:t>
            </w:r>
          </w:p>
        </w:tc>
        <w:tc>
          <w:tcPr>
            <w:tcW w:w="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7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98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7"/>
                <w:szCs w:val="7"/>
                <w:color w:val="auto"/>
              </w:rPr>
              <w:t>$</w:t>
            </w: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5,032,813</w:t>
            </w:r>
          </w:p>
        </w:tc>
        <w:tc>
          <w:tcPr>
            <w:tcW w:w="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7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shd w:val="clear" w:color="auto" w:fill="CCEEFF"/>
          </w:tcPr>
          <w:p>
            <w:pPr>
              <w:spacing w:after="0"/>
              <w:rPr>
                <w:sz w:val="20"/>
                <w:szCs w:val="20"/>
                <w:color w:val="auto"/>
              </w:rPr>
            </w:pPr>
            <w:r>
              <w:rPr>
                <w:rFonts w:ascii="Arial" w:cs="Arial" w:eastAsia="Arial" w:hAnsi="Arial"/>
                <w:sz w:val="7"/>
                <w:szCs w:val="7"/>
                <w:b w:val="1"/>
                <w:bCs w:val="1"/>
                <w:color w:val="auto"/>
              </w:rPr>
              <w:t>LIABILITIES AND STOCKHOLDERS' EQUITY</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580" w:type="dxa"/>
            <w:vAlign w:val="bottom"/>
          </w:tcPr>
          <w:p>
            <w:pPr>
              <w:spacing w:after="0"/>
              <w:rPr>
                <w:sz w:val="20"/>
                <w:szCs w:val="20"/>
                <w:color w:val="auto"/>
              </w:rPr>
            </w:pPr>
            <w:r>
              <w:rPr>
                <w:rFonts w:ascii="Arial" w:cs="Arial" w:eastAsia="Arial" w:hAnsi="Arial"/>
                <w:sz w:val="7"/>
                <w:szCs w:val="7"/>
                <w:b w:val="1"/>
                <w:bCs w:val="1"/>
                <w:color w:val="auto"/>
              </w:rPr>
              <w:t>Liabilities</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580" w:type="dxa"/>
            <w:vAlign w:val="bottom"/>
            <w:shd w:val="clear" w:color="auto" w:fill="CCEEFF"/>
          </w:tcPr>
          <w:p>
            <w:pPr>
              <w:ind w:left="60"/>
              <w:spacing w:after="0"/>
              <w:rPr>
                <w:sz w:val="20"/>
                <w:szCs w:val="20"/>
                <w:color w:val="auto"/>
              </w:rPr>
            </w:pPr>
            <w:r>
              <w:rPr>
                <w:rFonts w:ascii="Arial" w:cs="Arial" w:eastAsia="Arial" w:hAnsi="Arial"/>
                <w:sz w:val="7"/>
                <w:szCs w:val="7"/>
                <w:color w:val="auto"/>
              </w:rPr>
              <w:t>Interest-bearing deposits:</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80" w:type="dxa"/>
            <w:vAlign w:val="bottom"/>
          </w:tcPr>
          <w:p>
            <w:pPr>
              <w:ind w:left="120"/>
              <w:spacing w:after="0"/>
              <w:rPr>
                <w:sz w:val="20"/>
                <w:szCs w:val="20"/>
                <w:color w:val="auto"/>
              </w:rPr>
            </w:pPr>
            <w:r>
              <w:rPr>
                <w:rFonts w:ascii="Arial" w:cs="Arial" w:eastAsia="Arial" w:hAnsi="Arial"/>
                <w:sz w:val="7"/>
                <w:szCs w:val="7"/>
                <w:color w:val="auto"/>
              </w:rPr>
              <w:t>Interest-bearing demand</w:t>
            </w:r>
          </w:p>
        </w:tc>
        <w:tc>
          <w:tcPr>
            <w:tcW w:w="100" w:type="dxa"/>
            <w:vAlign w:val="bottom"/>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Pr>
          <w:p>
            <w:pPr>
              <w:jc w:val="right"/>
              <w:spacing w:after="0"/>
              <w:rPr>
                <w:sz w:val="20"/>
                <w:szCs w:val="20"/>
                <w:color w:val="auto"/>
              </w:rPr>
            </w:pPr>
            <w:r>
              <w:rPr>
                <w:rFonts w:ascii="Arial" w:cs="Arial" w:eastAsia="Arial" w:hAnsi="Arial"/>
                <w:sz w:val="7"/>
                <w:szCs w:val="7"/>
                <w:color w:val="auto"/>
              </w:rPr>
              <w:t>1,223,982</w:t>
            </w:r>
          </w:p>
        </w:tc>
        <w:tc>
          <w:tcPr>
            <w:tcW w:w="220" w:type="dxa"/>
            <w:vAlign w:val="bottom"/>
            <w:gridSpan w:val="2"/>
          </w:tcPr>
          <w:p>
            <w:pPr>
              <w:jc w:val="right"/>
              <w:ind w:right="80"/>
              <w:spacing w:after="0"/>
              <w:rPr>
                <w:sz w:val="20"/>
                <w:szCs w:val="20"/>
                <w:color w:val="auto"/>
              </w:rPr>
            </w:pPr>
            <w:r>
              <w:rPr>
                <w:rFonts w:ascii="Arial" w:cs="Arial" w:eastAsia="Arial" w:hAnsi="Arial"/>
                <w:sz w:val="7"/>
                <w:szCs w:val="7"/>
                <w:color w:val="auto"/>
              </w:rPr>
              <w:t>$</w:t>
            </w: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1,931</w:t>
            </w:r>
          </w:p>
        </w:tc>
        <w:tc>
          <w:tcPr>
            <w:tcW w:w="80" w:type="dxa"/>
            <w:vAlign w:val="bottom"/>
          </w:tcPr>
          <w:p>
            <w:pPr>
              <w:spacing w:after="0"/>
              <w:rPr>
                <w:sz w:val="8"/>
                <w:szCs w:val="8"/>
                <w:color w:val="auto"/>
              </w:rPr>
            </w:pPr>
          </w:p>
        </w:tc>
        <w:tc>
          <w:tcPr>
            <w:tcW w:w="980" w:type="dxa"/>
            <w:vAlign w:val="bottom"/>
          </w:tcPr>
          <w:p>
            <w:pPr>
              <w:ind w:left="740"/>
              <w:spacing w:after="0"/>
              <w:rPr>
                <w:sz w:val="20"/>
                <w:szCs w:val="20"/>
                <w:color w:val="auto"/>
              </w:rPr>
            </w:pPr>
            <w:r>
              <w:rPr>
                <w:rFonts w:ascii="Arial" w:cs="Arial" w:eastAsia="Arial" w:hAnsi="Arial"/>
                <w:sz w:val="7"/>
                <w:szCs w:val="7"/>
                <w:color w:val="auto"/>
              </w:rPr>
              <w:t>0.64 %</w:t>
            </w:r>
          </w:p>
        </w:tc>
        <w:tc>
          <w:tcPr>
            <w:tcW w:w="80" w:type="dxa"/>
            <w:vAlign w:val="bottom"/>
          </w:tcPr>
          <w:p>
            <w:pPr>
              <w:spacing w:after="0"/>
              <w:rPr>
                <w:sz w:val="8"/>
                <w:szCs w:val="8"/>
                <w:color w:val="auto"/>
              </w:rPr>
            </w:pPr>
          </w:p>
        </w:tc>
        <w:tc>
          <w:tcPr>
            <w:tcW w:w="80" w:type="dxa"/>
            <w:vAlign w:val="bottom"/>
          </w:tcPr>
          <w:p>
            <w:pPr>
              <w:jc w:val="right"/>
              <w:ind w:right="16"/>
              <w:spacing w:after="0"/>
              <w:rPr>
                <w:sz w:val="20"/>
                <w:szCs w:val="20"/>
                <w:color w:val="auto"/>
              </w:rPr>
            </w:pPr>
            <w:r>
              <w:rPr>
                <w:rFonts w:ascii="Arial" w:cs="Arial" w:eastAsia="Arial" w:hAnsi="Arial"/>
                <w:sz w:val="5"/>
                <w:szCs w:val="5"/>
                <w:color w:val="auto"/>
                <w:w w:val="70"/>
              </w:rPr>
              <w:t>$</w:t>
            </w: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1,129,642</w:t>
            </w:r>
          </w:p>
        </w:tc>
        <w:tc>
          <w:tcPr>
            <w:tcW w:w="180" w:type="dxa"/>
            <w:vAlign w:val="bottom"/>
            <w:gridSpan w:val="2"/>
          </w:tcPr>
          <w:p>
            <w:pPr>
              <w:jc w:val="right"/>
              <w:ind w:right="40"/>
              <w:spacing w:after="0"/>
              <w:rPr>
                <w:sz w:val="20"/>
                <w:szCs w:val="20"/>
                <w:color w:val="auto"/>
              </w:rPr>
            </w:pPr>
            <w:r>
              <w:rPr>
                <w:rFonts w:ascii="Arial" w:cs="Arial" w:eastAsia="Arial" w:hAnsi="Arial"/>
                <w:sz w:val="7"/>
                <w:szCs w:val="7"/>
                <w:color w:val="auto"/>
              </w:rPr>
              <w:t>$</w:t>
            </w:r>
          </w:p>
        </w:tc>
        <w:tc>
          <w:tcPr>
            <w:tcW w:w="720" w:type="dxa"/>
            <w:vAlign w:val="bottom"/>
          </w:tcPr>
          <w:p>
            <w:pPr>
              <w:jc w:val="right"/>
              <w:ind w:right="4"/>
              <w:spacing w:after="0"/>
              <w:rPr>
                <w:sz w:val="20"/>
                <w:szCs w:val="20"/>
                <w:color w:val="auto"/>
              </w:rPr>
            </w:pPr>
            <w:r>
              <w:rPr>
                <w:rFonts w:ascii="Arial" w:cs="Arial" w:eastAsia="Arial" w:hAnsi="Arial"/>
                <w:sz w:val="7"/>
                <w:szCs w:val="7"/>
                <w:color w:val="auto"/>
              </w:rPr>
              <w:t>1,800</w:t>
            </w:r>
          </w:p>
        </w:tc>
        <w:tc>
          <w:tcPr>
            <w:tcW w:w="80" w:type="dxa"/>
            <w:vAlign w:val="bottom"/>
          </w:tcPr>
          <w:p>
            <w:pPr>
              <w:spacing w:after="0"/>
              <w:rPr>
                <w:sz w:val="8"/>
                <w:szCs w:val="8"/>
                <w:color w:val="auto"/>
              </w:rPr>
            </w:pPr>
          </w:p>
        </w:tc>
        <w:tc>
          <w:tcPr>
            <w:tcW w:w="980" w:type="dxa"/>
            <w:vAlign w:val="bottom"/>
          </w:tcPr>
          <w:p>
            <w:pPr>
              <w:jc w:val="right"/>
              <w:spacing w:after="0"/>
              <w:rPr>
                <w:sz w:val="20"/>
                <w:szCs w:val="20"/>
                <w:color w:val="auto"/>
              </w:rPr>
            </w:pPr>
            <w:r>
              <w:rPr>
                <w:rFonts w:ascii="Arial" w:cs="Arial" w:eastAsia="Arial" w:hAnsi="Arial"/>
                <w:sz w:val="7"/>
                <w:szCs w:val="7"/>
                <w:color w:val="auto"/>
              </w:rPr>
              <w:t>0.63 %</w:t>
            </w:r>
          </w:p>
        </w:tc>
        <w:tc>
          <w:tcPr>
            <w:tcW w:w="80" w:type="dxa"/>
            <w:vAlign w:val="bottom"/>
          </w:tcPr>
          <w:p>
            <w:pPr>
              <w:spacing w:after="0"/>
              <w:rPr>
                <w:sz w:val="8"/>
                <w:szCs w:val="8"/>
                <w:color w:val="auto"/>
              </w:rPr>
            </w:pPr>
          </w:p>
        </w:tc>
        <w:tc>
          <w:tcPr>
            <w:tcW w:w="120" w:type="dxa"/>
            <w:vAlign w:val="bottom"/>
          </w:tcPr>
          <w:p>
            <w:pPr>
              <w:jc w:val="right"/>
              <w:ind w:right="24"/>
              <w:spacing w:after="0"/>
              <w:rPr>
                <w:sz w:val="20"/>
                <w:szCs w:val="20"/>
                <w:color w:val="auto"/>
              </w:rPr>
            </w:pPr>
            <w:r>
              <w:rPr>
                <w:rFonts w:ascii="Arial" w:cs="Arial" w:eastAsia="Arial" w:hAnsi="Arial"/>
                <w:sz w:val="7"/>
                <w:szCs w:val="7"/>
                <w:color w:val="auto"/>
              </w:rPr>
              <w:t>$</w:t>
            </w: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1,120,608</w:t>
            </w:r>
          </w:p>
        </w:tc>
        <w:tc>
          <w:tcPr>
            <w:tcW w:w="220" w:type="dxa"/>
            <w:vAlign w:val="bottom"/>
            <w:gridSpan w:val="2"/>
          </w:tcPr>
          <w:p>
            <w:pPr>
              <w:jc w:val="right"/>
              <w:ind w:right="80"/>
              <w:spacing w:after="0"/>
              <w:rPr>
                <w:sz w:val="20"/>
                <w:szCs w:val="20"/>
                <w:color w:val="auto"/>
              </w:rPr>
            </w:pPr>
            <w:r>
              <w:rPr>
                <w:rFonts w:ascii="Arial" w:cs="Arial" w:eastAsia="Arial" w:hAnsi="Arial"/>
                <w:sz w:val="7"/>
                <w:szCs w:val="7"/>
                <w:color w:val="auto"/>
              </w:rPr>
              <w:t>$</w:t>
            </w:r>
          </w:p>
        </w:tc>
        <w:tc>
          <w:tcPr>
            <w:tcW w:w="740" w:type="dxa"/>
            <w:vAlign w:val="bottom"/>
          </w:tcPr>
          <w:p>
            <w:pPr>
              <w:jc w:val="right"/>
              <w:spacing w:after="0"/>
              <w:rPr>
                <w:sz w:val="20"/>
                <w:szCs w:val="20"/>
                <w:color w:val="auto"/>
              </w:rPr>
            </w:pPr>
            <w:r>
              <w:rPr>
                <w:rFonts w:ascii="Arial" w:cs="Arial" w:eastAsia="Arial" w:hAnsi="Arial"/>
                <w:sz w:val="7"/>
                <w:szCs w:val="7"/>
                <w:color w:val="auto"/>
              </w:rPr>
              <w:t>1,453</w:t>
            </w:r>
          </w:p>
        </w:tc>
        <w:tc>
          <w:tcPr>
            <w:tcW w:w="100" w:type="dxa"/>
            <w:vAlign w:val="bottom"/>
          </w:tcPr>
          <w:p>
            <w:pPr>
              <w:spacing w:after="0"/>
              <w:rPr>
                <w:sz w:val="8"/>
                <w:szCs w:val="8"/>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0.53 %</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120"/>
              <w:spacing w:after="0"/>
              <w:rPr>
                <w:sz w:val="20"/>
                <w:szCs w:val="20"/>
                <w:color w:val="auto"/>
              </w:rPr>
            </w:pPr>
            <w:r>
              <w:rPr>
                <w:rFonts w:ascii="Arial" w:cs="Arial" w:eastAsia="Arial" w:hAnsi="Arial"/>
                <w:sz w:val="7"/>
                <w:szCs w:val="7"/>
                <w:color w:val="auto"/>
              </w:rPr>
              <w:t>Money market</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906,663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4,448</w:t>
            </w: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7"/>
                <w:szCs w:val="7"/>
                <w:color w:val="auto"/>
              </w:rPr>
              <w:t>1.99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866,762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4,614</w:t>
            </w: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2.11</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807,728</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7"/>
                <w:szCs w:val="7"/>
                <w:color w:val="auto"/>
              </w:rPr>
              <w:t>4,397</w:t>
            </w: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7"/>
                <w:szCs w:val="7"/>
                <w:color w:val="auto"/>
              </w:rPr>
              <w:t>2.21</w:t>
            </w:r>
          </w:p>
        </w:tc>
        <w:tc>
          <w:tcPr>
            <w:tcW w:w="0" w:type="dxa"/>
            <w:vAlign w:val="bottom"/>
          </w:tcPr>
          <w:p>
            <w:pPr>
              <w:spacing w:after="0"/>
              <w:rPr>
                <w:sz w:val="1"/>
                <w:szCs w:val="1"/>
                <w:color w:val="auto"/>
              </w:rPr>
            </w:pPr>
          </w:p>
        </w:tc>
      </w:tr>
      <w:tr>
        <w:trPr>
          <w:trHeight w:val="101"/>
        </w:trPr>
        <w:tc>
          <w:tcPr>
            <w:tcW w:w="2580" w:type="dxa"/>
            <w:vAlign w:val="bottom"/>
          </w:tcPr>
          <w:p>
            <w:pPr>
              <w:ind w:left="120"/>
              <w:spacing w:after="0"/>
              <w:rPr>
                <w:sz w:val="20"/>
                <w:szCs w:val="20"/>
                <w:color w:val="auto"/>
              </w:rPr>
            </w:pPr>
            <w:r>
              <w:rPr>
                <w:rFonts w:ascii="Arial" w:cs="Arial" w:eastAsia="Arial" w:hAnsi="Arial"/>
                <w:sz w:val="7"/>
                <w:szCs w:val="7"/>
                <w:color w:val="auto"/>
              </w:rPr>
              <w:t>Savings</w:t>
            </w:r>
          </w:p>
        </w:tc>
        <w:tc>
          <w:tcPr>
            <w:tcW w:w="10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671,852</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704</w:t>
            </w:r>
          </w:p>
        </w:tc>
        <w:tc>
          <w:tcPr>
            <w:tcW w:w="80" w:type="dxa"/>
            <w:vAlign w:val="bottom"/>
          </w:tcPr>
          <w:p>
            <w:pPr>
              <w:spacing w:after="0"/>
              <w:rPr>
                <w:sz w:val="8"/>
                <w:szCs w:val="8"/>
                <w:color w:val="auto"/>
              </w:rPr>
            </w:pPr>
          </w:p>
        </w:tc>
        <w:tc>
          <w:tcPr>
            <w:tcW w:w="980" w:type="dxa"/>
            <w:vAlign w:val="bottom"/>
          </w:tcPr>
          <w:p>
            <w:pPr>
              <w:ind w:left="740"/>
              <w:spacing w:after="0"/>
              <w:rPr>
                <w:sz w:val="20"/>
                <w:szCs w:val="20"/>
                <w:color w:val="auto"/>
              </w:rPr>
            </w:pPr>
            <w:r>
              <w:rPr>
                <w:rFonts w:ascii="Arial" w:cs="Arial" w:eastAsia="Arial" w:hAnsi="Arial"/>
                <w:sz w:val="7"/>
                <w:szCs w:val="7"/>
                <w:color w:val="auto"/>
              </w:rPr>
              <w:t>0.43</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561,755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ind w:right="4"/>
              <w:spacing w:after="0"/>
              <w:rPr>
                <w:sz w:val="20"/>
                <w:szCs w:val="20"/>
                <w:color w:val="auto"/>
              </w:rPr>
            </w:pPr>
            <w:r>
              <w:rPr>
                <w:rFonts w:ascii="Arial" w:cs="Arial" w:eastAsia="Arial" w:hAnsi="Arial"/>
                <w:sz w:val="7"/>
                <w:szCs w:val="7"/>
                <w:color w:val="auto"/>
              </w:rPr>
              <w:t>397</w:t>
            </w:r>
          </w:p>
        </w:tc>
        <w:tc>
          <w:tcPr>
            <w:tcW w:w="80" w:type="dxa"/>
            <w:vAlign w:val="bottom"/>
          </w:tcPr>
          <w:p>
            <w:pPr>
              <w:spacing w:after="0"/>
              <w:rPr>
                <w:sz w:val="8"/>
                <w:szCs w:val="8"/>
                <w:color w:val="auto"/>
              </w:rPr>
            </w:pPr>
          </w:p>
        </w:tc>
        <w:tc>
          <w:tcPr>
            <w:tcW w:w="980" w:type="dxa"/>
            <w:vAlign w:val="bottom"/>
          </w:tcPr>
          <w:p>
            <w:pPr>
              <w:jc w:val="right"/>
              <w:ind w:right="64"/>
              <w:spacing w:after="0"/>
              <w:rPr>
                <w:sz w:val="20"/>
                <w:szCs w:val="20"/>
                <w:color w:val="auto"/>
              </w:rPr>
            </w:pPr>
            <w:r>
              <w:rPr>
                <w:rFonts w:ascii="Arial" w:cs="Arial" w:eastAsia="Arial" w:hAnsi="Arial"/>
                <w:sz w:val="7"/>
                <w:szCs w:val="7"/>
                <w:color w:val="auto"/>
              </w:rPr>
              <w:t>0.28</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569,494</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370</w:t>
            </w:r>
          </w:p>
        </w:tc>
        <w:tc>
          <w:tcPr>
            <w:tcW w:w="100" w:type="dxa"/>
            <w:vAlign w:val="bottom"/>
          </w:tcPr>
          <w:p>
            <w:pPr>
              <w:spacing w:after="0"/>
              <w:rPr>
                <w:sz w:val="8"/>
                <w:szCs w:val="8"/>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0.26</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120"/>
              <w:spacing w:after="0"/>
              <w:rPr>
                <w:sz w:val="20"/>
                <w:szCs w:val="20"/>
                <w:color w:val="auto"/>
              </w:rPr>
            </w:pPr>
            <w:r>
              <w:rPr>
                <w:rFonts w:ascii="Arial" w:cs="Arial" w:eastAsia="Arial" w:hAnsi="Arial"/>
                <w:sz w:val="7"/>
                <w:szCs w:val="7"/>
                <w:color w:val="auto"/>
              </w:rPr>
              <w:t>Time</w:t>
            </w: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940,019</w:t>
            </w:r>
          </w:p>
        </w:tc>
        <w:tc>
          <w:tcPr>
            <w:tcW w:w="8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7,026</w:t>
            </w:r>
          </w:p>
        </w:tc>
        <w:tc>
          <w:tcPr>
            <w:tcW w:w="8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7"/>
                <w:szCs w:val="7"/>
                <w:color w:val="auto"/>
              </w:rPr>
              <w:t>3.03</w:t>
            </w: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765,792</w:t>
            </w:r>
          </w:p>
        </w:tc>
        <w:tc>
          <w:tcPr>
            <w:tcW w:w="8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6,109</w:t>
            </w:r>
          </w:p>
        </w:tc>
        <w:tc>
          <w:tcPr>
            <w:tcW w:w="80" w:type="dxa"/>
            <w:vAlign w:val="bottom"/>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3.16</w:t>
            </w:r>
          </w:p>
        </w:tc>
        <w:tc>
          <w:tcPr>
            <w:tcW w:w="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784,099</w:t>
            </w:r>
          </w:p>
        </w:tc>
        <w:tc>
          <w:tcPr>
            <w:tcW w:w="80" w:type="dxa"/>
            <w:vAlign w:val="bottom"/>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6,719</w:t>
            </w:r>
          </w:p>
        </w:tc>
        <w:tc>
          <w:tcPr>
            <w:tcW w:w="100" w:type="dxa"/>
            <w:vAlign w:val="bottom"/>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7"/>
                <w:szCs w:val="7"/>
                <w:color w:val="auto"/>
              </w:rPr>
              <w:t>3.48</w:t>
            </w:r>
          </w:p>
        </w:tc>
        <w:tc>
          <w:tcPr>
            <w:tcW w:w="0" w:type="dxa"/>
            <w:vAlign w:val="bottom"/>
          </w:tcPr>
          <w:p>
            <w:pPr>
              <w:spacing w:after="0"/>
              <w:rPr>
                <w:sz w:val="1"/>
                <w:szCs w:val="1"/>
                <w:color w:val="auto"/>
              </w:rPr>
            </w:pPr>
          </w:p>
        </w:tc>
      </w:tr>
      <w:tr>
        <w:trPr>
          <w:trHeight w:val="90"/>
        </w:trPr>
        <w:tc>
          <w:tcPr>
            <w:tcW w:w="2580" w:type="dxa"/>
            <w:vAlign w:val="bottom"/>
          </w:tcPr>
          <w:p>
            <w:pPr>
              <w:ind w:left="160"/>
              <w:spacing w:after="0"/>
              <w:rPr>
                <w:sz w:val="20"/>
                <w:szCs w:val="20"/>
                <w:color w:val="auto"/>
              </w:rPr>
            </w:pPr>
            <w:r>
              <w:rPr>
                <w:rFonts w:ascii="Arial" w:cs="Arial" w:eastAsia="Arial" w:hAnsi="Arial"/>
                <w:sz w:val="7"/>
                <w:szCs w:val="7"/>
                <w:color w:val="auto"/>
              </w:rPr>
              <w:t>Total interest-bearing deposits</w:t>
            </w:r>
          </w:p>
        </w:tc>
        <w:tc>
          <w:tcPr>
            <w:tcW w:w="100" w:type="dxa"/>
            <w:vAlign w:val="bottom"/>
          </w:tcPr>
          <w:p>
            <w:pPr>
              <w:spacing w:after="0"/>
              <w:rPr>
                <w:sz w:val="7"/>
                <w:szCs w:val="7"/>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3,742,516</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14,109</w:t>
            </w:r>
          </w:p>
        </w:tc>
        <w:tc>
          <w:tcPr>
            <w:tcW w:w="80" w:type="dxa"/>
            <w:vAlign w:val="bottom"/>
          </w:tcPr>
          <w:p>
            <w:pPr>
              <w:spacing w:after="0"/>
              <w:rPr>
                <w:sz w:val="7"/>
                <w:szCs w:val="7"/>
                <w:color w:val="auto"/>
              </w:rPr>
            </w:pPr>
          </w:p>
        </w:tc>
        <w:tc>
          <w:tcPr>
            <w:tcW w:w="980" w:type="dxa"/>
            <w:vAlign w:val="bottom"/>
          </w:tcPr>
          <w:p>
            <w:pPr>
              <w:ind w:left="740"/>
              <w:spacing w:after="0"/>
              <w:rPr>
                <w:sz w:val="20"/>
                <w:szCs w:val="20"/>
                <w:color w:val="auto"/>
              </w:rPr>
            </w:pPr>
            <w:r>
              <w:rPr>
                <w:rFonts w:ascii="Arial" w:cs="Arial" w:eastAsia="Arial" w:hAnsi="Arial"/>
                <w:sz w:val="7"/>
                <w:szCs w:val="7"/>
                <w:color w:val="auto"/>
              </w:rPr>
              <w:t>1.53</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3,323,951</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jc w:val="right"/>
              <w:ind w:right="4"/>
              <w:spacing w:after="0"/>
              <w:rPr>
                <w:sz w:val="20"/>
                <w:szCs w:val="20"/>
                <w:color w:val="auto"/>
              </w:rPr>
            </w:pPr>
            <w:r>
              <w:rPr>
                <w:rFonts w:ascii="Arial" w:cs="Arial" w:eastAsia="Arial" w:hAnsi="Arial"/>
                <w:sz w:val="7"/>
                <w:szCs w:val="7"/>
                <w:color w:val="auto"/>
              </w:rPr>
              <w:t>12,920</w:t>
            </w:r>
          </w:p>
        </w:tc>
        <w:tc>
          <w:tcPr>
            <w:tcW w:w="80" w:type="dxa"/>
            <w:vAlign w:val="bottom"/>
          </w:tcPr>
          <w:p>
            <w:pPr>
              <w:spacing w:after="0"/>
              <w:rPr>
                <w:sz w:val="7"/>
                <w:szCs w:val="7"/>
                <w:color w:val="auto"/>
              </w:rPr>
            </w:pPr>
          </w:p>
        </w:tc>
        <w:tc>
          <w:tcPr>
            <w:tcW w:w="980" w:type="dxa"/>
            <w:vAlign w:val="bottom"/>
          </w:tcPr>
          <w:p>
            <w:pPr>
              <w:jc w:val="right"/>
              <w:ind w:right="64"/>
              <w:spacing w:after="0"/>
              <w:rPr>
                <w:sz w:val="20"/>
                <w:szCs w:val="20"/>
                <w:color w:val="auto"/>
              </w:rPr>
            </w:pPr>
            <w:r>
              <w:rPr>
                <w:rFonts w:ascii="Arial" w:cs="Arial" w:eastAsia="Arial" w:hAnsi="Arial"/>
                <w:sz w:val="7"/>
                <w:szCs w:val="7"/>
                <w:color w:val="auto"/>
              </w:rPr>
              <w:t>1.54</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3,281,929</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12,939</w:t>
            </w:r>
          </w:p>
        </w:tc>
        <w:tc>
          <w:tcPr>
            <w:tcW w:w="100" w:type="dxa"/>
            <w:vAlign w:val="bottom"/>
          </w:tcPr>
          <w:p>
            <w:pPr>
              <w:spacing w:after="0"/>
              <w:rPr>
                <w:sz w:val="7"/>
                <w:szCs w:val="7"/>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1.60</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60"/>
              <w:spacing w:after="0"/>
              <w:rPr>
                <w:sz w:val="20"/>
                <w:szCs w:val="20"/>
                <w:color w:val="auto"/>
              </w:rPr>
            </w:pPr>
            <w:r>
              <w:rPr>
                <w:rFonts w:ascii="Arial" w:cs="Arial" w:eastAsia="Arial" w:hAnsi="Arial"/>
                <w:sz w:val="7"/>
                <w:szCs w:val="7"/>
                <w:color w:val="auto"/>
              </w:rPr>
              <w:t>Securities sold under agreements to repurchase</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2,902</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16</w:t>
            </w: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7"/>
                <w:szCs w:val="7"/>
                <w:color w:val="auto"/>
              </w:rPr>
              <w:t>2.21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8,754</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7"/>
                <w:szCs w:val="7"/>
                <w:color w:val="auto"/>
              </w:rPr>
              <w:t>22</w:t>
            </w: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7"/>
                <w:szCs w:val="7"/>
                <w:color w:val="auto"/>
              </w:rPr>
              <w:t>1.02</w:t>
            </w:r>
          </w:p>
        </w:tc>
        <w:tc>
          <w:tcPr>
            <w:tcW w:w="0" w:type="dxa"/>
            <w:vAlign w:val="bottom"/>
          </w:tcPr>
          <w:p>
            <w:pPr>
              <w:spacing w:after="0"/>
              <w:rPr>
                <w:sz w:val="1"/>
                <w:szCs w:val="1"/>
                <w:color w:val="auto"/>
              </w:rPr>
            </w:pPr>
          </w:p>
        </w:tc>
      </w:tr>
      <w:tr>
        <w:trPr>
          <w:trHeight w:val="101"/>
        </w:trPr>
        <w:tc>
          <w:tcPr>
            <w:tcW w:w="2580" w:type="dxa"/>
            <w:vAlign w:val="bottom"/>
          </w:tcPr>
          <w:p>
            <w:pPr>
              <w:ind w:left="60"/>
              <w:spacing w:after="0"/>
              <w:rPr>
                <w:sz w:val="20"/>
                <w:szCs w:val="20"/>
                <w:color w:val="auto"/>
              </w:rPr>
            </w:pPr>
            <w:r>
              <w:rPr>
                <w:rFonts w:ascii="Arial" w:cs="Arial" w:eastAsia="Arial" w:hAnsi="Arial"/>
                <w:sz w:val="7"/>
                <w:szCs w:val="7"/>
                <w:color w:val="auto"/>
              </w:rPr>
              <w:t>Borrowings</w:t>
            </w:r>
          </w:p>
        </w:tc>
        <w:tc>
          <w:tcPr>
            <w:tcW w:w="10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28,886</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209</w:t>
            </w:r>
          </w:p>
        </w:tc>
        <w:tc>
          <w:tcPr>
            <w:tcW w:w="80" w:type="dxa"/>
            <w:vAlign w:val="bottom"/>
          </w:tcPr>
          <w:p>
            <w:pPr>
              <w:spacing w:after="0"/>
              <w:rPr>
                <w:sz w:val="8"/>
                <w:szCs w:val="8"/>
                <w:color w:val="auto"/>
              </w:rPr>
            </w:pPr>
          </w:p>
        </w:tc>
        <w:tc>
          <w:tcPr>
            <w:tcW w:w="980" w:type="dxa"/>
            <w:vAlign w:val="bottom"/>
          </w:tcPr>
          <w:p>
            <w:pPr>
              <w:ind w:left="740"/>
              <w:spacing w:after="0"/>
              <w:rPr>
                <w:sz w:val="20"/>
                <w:szCs w:val="20"/>
                <w:color w:val="auto"/>
              </w:rPr>
            </w:pPr>
            <w:r>
              <w:rPr>
                <w:rFonts w:ascii="Arial" w:cs="Arial" w:eastAsia="Arial" w:hAnsi="Arial"/>
                <w:sz w:val="7"/>
                <w:szCs w:val="7"/>
                <w:color w:val="auto"/>
              </w:rPr>
              <w:t>2.94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7,819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right"/>
              <w:ind w:right="4"/>
              <w:spacing w:after="0"/>
              <w:rPr>
                <w:sz w:val="20"/>
                <w:szCs w:val="20"/>
                <w:color w:val="auto"/>
              </w:rPr>
            </w:pPr>
            <w:r>
              <w:rPr>
                <w:rFonts w:ascii="Arial" w:cs="Arial" w:eastAsia="Arial" w:hAnsi="Arial"/>
                <w:sz w:val="7"/>
                <w:szCs w:val="7"/>
                <w:color w:val="auto"/>
              </w:rPr>
              <w:t>33</w:t>
            </w:r>
          </w:p>
        </w:tc>
        <w:tc>
          <w:tcPr>
            <w:tcW w:w="80" w:type="dxa"/>
            <w:vAlign w:val="bottom"/>
          </w:tcPr>
          <w:p>
            <w:pPr>
              <w:spacing w:after="0"/>
              <w:rPr>
                <w:sz w:val="8"/>
                <w:szCs w:val="8"/>
                <w:color w:val="auto"/>
              </w:rPr>
            </w:pPr>
          </w:p>
        </w:tc>
        <w:tc>
          <w:tcPr>
            <w:tcW w:w="980" w:type="dxa"/>
            <w:vAlign w:val="bottom"/>
          </w:tcPr>
          <w:p>
            <w:pPr>
              <w:jc w:val="right"/>
              <w:ind w:right="64"/>
              <w:spacing w:after="0"/>
              <w:rPr>
                <w:sz w:val="20"/>
                <w:szCs w:val="20"/>
                <w:color w:val="auto"/>
              </w:rPr>
            </w:pPr>
            <w:r>
              <w:rPr>
                <w:rFonts w:ascii="Arial" w:cs="Arial" w:eastAsia="Arial" w:hAnsi="Arial"/>
                <w:sz w:val="7"/>
                <w:szCs w:val="7"/>
                <w:color w:val="auto"/>
              </w:rPr>
              <w:t>1.68</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12,890</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109</w:t>
            </w:r>
          </w:p>
        </w:tc>
        <w:tc>
          <w:tcPr>
            <w:tcW w:w="100" w:type="dxa"/>
            <w:vAlign w:val="bottom"/>
          </w:tcPr>
          <w:p>
            <w:pPr>
              <w:spacing w:after="0"/>
              <w:rPr>
                <w:sz w:val="8"/>
                <w:szCs w:val="8"/>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3.41</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60"/>
              <w:spacing w:after="0"/>
              <w:rPr>
                <w:sz w:val="20"/>
                <w:szCs w:val="20"/>
                <w:color w:val="auto"/>
              </w:rPr>
            </w:pPr>
            <w:r>
              <w:rPr>
                <w:rFonts w:ascii="Arial" w:cs="Arial" w:eastAsia="Arial" w:hAnsi="Arial"/>
                <w:sz w:val="7"/>
                <w:szCs w:val="7"/>
                <w:color w:val="auto"/>
              </w:rPr>
              <w:t>Subordinated notes</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19,781</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278</w:t>
            </w: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7"/>
                <w:szCs w:val="7"/>
                <w:color w:val="auto"/>
              </w:rPr>
              <w:t>5.70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7"/>
                <w:szCs w:val="7"/>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7"/>
                <w:szCs w:val="7"/>
                <w:color w:val="auto"/>
              </w:rPr>
              <w:t>—</w:t>
            </w: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39,563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7"/>
                <w:szCs w:val="7"/>
                <w:color w:val="auto"/>
              </w:rPr>
              <w:t>470</w:t>
            </w: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7"/>
                <w:szCs w:val="7"/>
                <w:color w:val="auto"/>
              </w:rPr>
              <w:t>4.82</w:t>
            </w:r>
          </w:p>
        </w:tc>
        <w:tc>
          <w:tcPr>
            <w:tcW w:w="0" w:type="dxa"/>
            <w:vAlign w:val="bottom"/>
          </w:tcPr>
          <w:p>
            <w:pPr>
              <w:spacing w:after="0"/>
              <w:rPr>
                <w:sz w:val="1"/>
                <w:szCs w:val="1"/>
                <w:color w:val="auto"/>
              </w:rPr>
            </w:pPr>
          </w:p>
        </w:tc>
      </w:tr>
      <w:tr>
        <w:trPr>
          <w:trHeight w:val="101"/>
        </w:trPr>
        <w:tc>
          <w:tcPr>
            <w:tcW w:w="2580" w:type="dxa"/>
            <w:vAlign w:val="bottom"/>
            <w:tcBorders>
              <w:bottom w:val="single" w:sz="8" w:color="CCEEFF"/>
            </w:tcBorders>
          </w:tcPr>
          <w:p>
            <w:pPr>
              <w:ind w:left="60"/>
              <w:spacing w:after="0"/>
              <w:rPr>
                <w:sz w:val="20"/>
                <w:szCs w:val="20"/>
                <w:color w:val="auto"/>
              </w:rPr>
            </w:pPr>
            <w:r>
              <w:rPr>
                <w:rFonts w:ascii="Arial" w:cs="Arial" w:eastAsia="Arial" w:hAnsi="Arial"/>
                <w:sz w:val="7"/>
                <w:szCs w:val="7"/>
                <w:color w:val="auto"/>
              </w:rPr>
              <w:t>Junior subordinated debentures issued to capital trusts</w:t>
            </w:r>
          </w:p>
        </w:tc>
        <w:tc>
          <w:tcPr>
            <w:tcW w:w="1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52,916</w:t>
            </w:r>
          </w:p>
        </w:tc>
        <w:tc>
          <w:tcPr>
            <w:tcW w:w="8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840</w:t>
            </w:r>
          </w:p>
        </w:tc>
        <w:tc>
          <w:tcPr>
            <w:tcW w:w="8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ind w:left="740"/>
              <w:spacing w:after="0"/>
              <w:rPr>
                <w:sz w:val="20"/>
                <w:szCs w:val="20"/>
                <w:color w:val="auto"/>
              </w:rPr>
            </w:pPr>
            <w:r>
              <w:rPr>
                <w:rFonts w:ascii="Arial" w:cs="Arial" w:eastAsia="Arial" w:hAnsi="Arial"/>
                <w:sz w:val="7"/>
                <w:szCs w:val="7"/>
                <w:color w:val="auto"/>
              </w:rPr>
              <w:t>6.44</w:t>
            </w:r>
          </w:p>
        </w:tc>
        <w:tc>
          <w:tcPr>
            <w:tcW w:w="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52,902</w:t>
            </w: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895</w:t>
            </w:r>
          </w:p>
        </w:tc>
        <w:tc>
          <w:tcPr>
            <w:tcW w:w="80" w:type="dxa"/>
            <w:vAlign w:val="bottom"/>
            <w:tcBorders>
              <w:bottom w:val="single" w:sz="8" w:color="CCEEFF"/>
            </w:tcBorders>
          </w:tcPr>
          <w:p>
            <w:pPr>
              <w:spacing w:after="0"/>
              <w:rPr>
                <w:sz w:val="8"/>
                <w:szCs w:val="8"/>
                <w:color w:val="auto"/>
              </w:rPr>
            </w:pP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6.70</w:t>
            </w:r>
          </w:p>
        </w:tc>
        <w:tc>
          <w:tcPr>
            <w:tcW w:w="8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52,856</w:t>
            </w:r>
          </w:p>
        </w:tc>
        <w:tc>
          <w:tcPr>
            <w:tcW w:w="8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890</w:t>
            </w:r>
          </w:p>
        </w:tc>
        <w:tc>
          <w:tcPr>
            <w:tcW w:w="100" w:type="dxa"/>
            <w:vAlign w:val="bottom"/>
            <w:tcBorders>
              <w:bottom w:val="single" w:sz="8" w:color="CCEEFF"/>
            </w:tcBorders>
          </w:tcPr>
          <w:p>
            <w:pPr>
              <w:spacing w:after="0"/>
              <w:rPr>
                <w:sz w:val="8"/>
                <w:szCs w:val="8"/>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7"/>
                <w:szCs w:val="7"/>
                <w:color w:val="auto"/>
              </w:rPr>
              <w:t>6.83</w:t>
            </w:r>
          </w:p>
        </w:tc>
        <w:tc>
          <w:tcPr>
            <w:tcW w:w="0" w:type="dxa"/>
            <w:vAlign w:val="bottom"/>
          </w:tcPr>
          <w:p>
            <w:pPr>
              <w:spacing w:after="0"/>
              <w:rPr>
                <w:sz w:val="1"/>
                <w:szCs w:val="1"/>
                <w:color w:val="auto"/>
              </w:rPr>
            </w:pPr>
          </w:p>
        </w:tc>
      </w:tr>
      <w:tr>
        <w:trPr>
          <w:trHeight w:val="104"/>
        </w:trPr>
        <w:tc>
          <w:tcPr>
            <w:tcW w:w="2580" w:type="dxa"/>
            <w:vAlign w:val="bottom"/>
            <w:shd w:val="clear" w:color="auto" w:fill="CCEEFF"/>
          </w:tcPr>
          <w:p>
            <w:pPr>
              <w:ind w:left="120"/>
              <w:spacing w:after="0"/>
              <w:rPr>
                <w:sz w:val="20"/>
                <w:szCs w:val="20"/>
                <w:color w:val="auto"/>
              </w:rPr>
            </w:pPr>
            <w:r>
              <w:rPr>
                <w:rFonts w:ascii="Arial" w:cs="Arial" w:eastAsia="Arial" w:hAnsi="Arial"/>
                <w:sz w:val="7"/>
                <w:szCs w:val="7"/>
                <w:color w:val="auto"/>
              </w:rPr>
              <w:t>Total interest-bearing liabilities</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3,847,001</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15,452</w:t>
            </w: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7"/>
                <w:szCs w:val="7"/>
                <w:color w:val="auto"/>
              </w:rPr>
              <w:t>1.63 %</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3,384,672</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7"/>
                <w:szCs w:val="7"/>
                <w:color w:val="auto"/>
              </w:rPr>
              <w:t>$</w:t>
            </w:r>
          </w:p>
        </w:tc>
        <w:tc>
          <w:tcPr>
            <w:tcW w:w="72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13,848</w:t>
            </w: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7"/>
                <w:szCs w:val="7"/>
                <w:color w:val="auto"/>
              </w:rPr>
              <w:t>1.62 %</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3,395,992</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7"/>
                <w:szCs w:val="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7"/>
                <w:szCs w:val="7"/>
                <w:color w:val="auto"/>
              </w:rPr>
              <w:t>14,430</w:t>
            </w: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7"/>
                <w:szCs w:val="7"/>
                <w:color w:val="auto"/>
              </w:rPr>
              <w:t>1.72 %</w:t>
            </w:r>
          </w:p>
        </w:tc>
        <w:tc>
          <w:tcPr>
            <w:tcW w:w="0" w:type="dxa"/>
            <w:vAlign w:val="bottom"/>
          </w:tcPr>
          <w:p>
            <w:pPr>
              <w:spacing w:after="0"/>
              <w:rPr>
                <w:sz w:val="1"/>
                <w:szCs w:val="1"/>
                <w:color w:val="auto"/>
              </w:rPr>
            </w:pPr>
          </w:p>
        </w:tc>
      </w:tr>
      <w:tr>
        <w:trPr>
          <w:trHeight w:val="81"/>
        </w:trPr>
        <w:tc>
          <w:tcPr>
            <w:tcW w:w="2580" w:type="dxa"/>
            <w:vAlign w:val="bottom"/>
          </w:tcPr>
          <w:p>
            <w:pPr>
              <w:ind w:left="60"/>
              <w:spacing w:after="0" w:line="74" w:lineRule="exact"/>
              <w:rPr>
                <w:sz w:val="20"/>
                <w:szCs w:val="20"/>
                <w:color w:val="auto"/>
              </w:rPr>
            </w:pPr>
            <w:r>
              <w:rPr>
                <w:rFonts w:ascii="Arial" w:cs="Arial" w:eastAsia="Arial" w:hAnsi="Arial"/>
                <w:sz w:val="7"/>
                <w:szCs w:val="7"/>
                <w:color w:val="auto"/>
              </w:rPr>
              <w:t>Noninterest-bearing deposits</w:t>
            </w:r>
          </w:p>
        </w:tc>
        <w:tc>
          <w:tcPr>
            <w:tcW w:w="100" w:type="dxa"/>
            <w:vAlign w:val="bottom"/>
          </w:tcPr>
          <w:p>
            <w:pPr>
              <w:spacing w:after="0"/>
              <w:rPr>
                <w:sz w:val="7"/>
                <w:szCs w:val="7"/>
                <w:color w:val="auto"/>
              </w:rPr>
            </w:pPr>
          </w:p>
        </w:tc>
        <w:tc>
          <w:tcPr>
            <w:tcW w:w="760" w:type="dxa"/>
            <w:vAlign w:val="bottom"/>
          </w:tcPr>
          <w:p>
            <w:pPr>
              <w:jc w:val="right"/>
              <w:spacing w:after="0" w:line="74" w:lineRule="exact"/>
              <w:rPr>
                <w:sz w:val="20"/>
                <w:szCs w:val="20"/>
                <w:color w:val="auto"/>
              </w:rPr>
            </w:pPr>
            <w:r>
              <w:rPr>
                <w:rFonts w:ascii="Arial" w:cs="Arial" w:eastAsia="Arial" w:hAnsi="Arial"/>
                <w:sz w:val="7"/>
                <w:szCs w:val="7"/>
                <w:color w:val="auto"/>
              </w:rPr>
              <w:t>1,150,594</w:t>
            </w:r>
          </w:p>
        </w:tc>
        <w:tc>
          <w:tcPr>
            <w:tcW w:w="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jc w:val="right"/>
              <w:ind w:right="4"/>
              <w:spacing w:after="0" w:line="74" w:lineRule="exact"/>
              <w:rPr>
                <w:sz w:val="20"/>
                <w:szCs w:val="20"/>
                <w:color w:val="auto"/>
              </w:rPr>
            </w:pPr>
            <w:r>
              <w:rPr>
                <w:rFonts w:ascii="Arial" w:cs="Arial" w:eastAsia="Arial" w:hAnsi="Arial"/>
                <w:sz w:val="7"/>
                <w:szCs w:val="7"/>
                <w:color w:val="auto"/>
              </w:rPr>
              <w:t>1,076,899</w:t>
            </w:r>
          </w:p>
        </w:tc>
        <w:tc>
          <w:tcPr>
            <w:tcW w:w="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jc w:val="right"/>
              <w:ind w:right="4"/>
              <w:spacing w:after="0" w:line="74" w:lineRule="exact"/>
              <w:rPr>
                <w:sz w:val="20"/>
                <w:szCs w:val="20"/>
                <w:color w:val="auto"/>
              </w:rPr>
            </w:pPr>
            <w:r>
              <w:rPr>
                <w:rFonts w:ascii="Arial" w:cs="Arial" w:eastAsia="Arial" w:hAnsi="Arial"/>
                <w:sz w:val="7"/>
                <w:szCs w:val="7"/>
                <w:color w:val="auto"/>
              </w:rPr>
              <w:t>1,045,733</w:t>
            </w:r>
          </w:p>
        </w:tc>
        <w:tc>
          <w:tcPr>
            <w:tcW w:w="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ind w:left="60"/>
              <w:spacing w:after="0"/>
              <w:rPr>
                <w:sz w:val="20"/>
                <w:szCs w:val="20"/>
                <w:color w:val="auto"/>
              </w:rPr>
            </w:pPr>
            <w:r>
              <w:rPr>
                <w:rFonts w:ascii="Arial" w:cs="Arial" w:eastAsia="Arial" w:hAnsi="Arial"/>
                <w:sz w:val="7"/>
                <w:szCs w:val="7"/>
                <w:color w:val="auto"/>
              </w:rPr>
              <w:t>Noninterest-bearing liabilities</w:t>
            </w:r>
          </w:p>
        </w:tc>
        <w:tc>
          <w:tcPr>
            <w:tcW w:w="1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45,282</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28,882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36,373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580" w:type="dxa"/>
            <w:vAlign w:val="bottom"/>
          </w:tcPr>
          <w:p>
            <w:pPr>
              <w:ind w:left="120"/>
              <w:spacing w:after="0"/>
              <w:rPr>
                <w:sz w:val="20"/>
                <w:szCs w:val="20"/>
                <w:color w:val="auto"/>
              </w:rPr>
            </w:pPr>
            <w:r>
              <w:rPr>
                <w:rFonts w:ascii="Arial" w:cs="Arial" w:eastAsia="Arial" w:hAnsi="Arial"/>
                <w:sz w:val="7"/>
                <w:szCs w:val="7"/>
                <w:b w:val="1"/>
                <w:bCs w:val="1"/>
                <w:color w:val="auto"/>
              </w:rPr>
              <w:t>Total liabilities</w:t>
            </w:r>
          </w:p>
        </w:tc>
        <w:tc>
          <w:tcPr>
            <w:tcW w:w="100" w:type="dxa"/>
            <w:vAlign w:val="bottom"/>
          </w:tcPr>
          <w:p>
            <w:pPr>
              <w:spacing w:after="0"/>
              <w:rPr>
                <w:sz w:val="8"/>
                <w:szCs w:val="8"/>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5,042,877</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4,490,453</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jc w:val="right"/>
              <w:ind w:right="4"/>
              <w:spacing w:after="0"/>
              <w:rPr>
                <w:sz w:val="20"/>
                <w:szCs w:val="20"/>
                <w:color w:val="auto"/>
              </w:rPr>
            </w:pPr>
            <w:r>
              <w:rPr>
                <w:rFonts w:ascii="Arial" w:cs="Arial" w:eastAsia="Arial" w:hAnsi="Arial"/>
                <w:sz w:val="7"/>
                <w:szCs w:val="7"/>
                <w:color w:val="auto"/>
              </w:rPr>
              <w:t>4,478,098</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580" w:type="dxa"/>
            <w:vAlign w:val="bottom"/>
            <w:shd w:val="clear" w:color="auto" w:fill="CCEEFF"/>
          </w:tcPr>
          <w:p>
            <w:pPr>
              <w:spacing w:after="0"/>
              <w:rPr>
                <w:sz w:val="20"/>
                <w:szCs w:val="20"/>
                <w:color w:val="auto"/>
              </w:rPr>
            </w:pPr>
            <w:r>
              <w:rPr>
                <w:rFonts w:ascii="Arial" w:cs="Arial" w:eastAsia="Arial" w:hAnsi="Arial"/>
                <w:sz w:val="7"/>
                <w:szCs w:val="7"/>
                <w:b w:val="1"/>
                <w:bCs w:val="1"/>
                <w:color w:val="auto"/>
              </w:rPr>
              <w:t>Stockholders' Equity</w:t>
            </w:r>
          </w:p>
        </w:tc>
        <w:tc>
          <w:tcPr>
            <w:tcW w:w="100" w:type="dxa"/>
            <w:vAlign w:val="bottom"/>
            <w:tcBorders>
              <w:bottom w:val="single" w:sz="8" w:color="auto"/>
            </w:tcBorders>
            <w:shd w:val="clear" w:color="auto" w:fill="CCEEFF"/>
          </w:tcPr>
          <w:p>
            <w:pPr>
              <w:spacing w:after="0"/>
              <w:rPr>
                <w:sz w:val="9"/>
                <w:szCs w:val="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670,567</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608,822</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7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554,715</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580" w:type="dxa"/>
            <w:vAlign w:val="bottom"/>
            <w:tcBorders>
              <w:bottom w:val="single" w:sz="8" w:color="CCEEFF"/>
            </w:tcBorders>
          </w:tcPr>
          <w:p>
            <w:pPr>
              <w:ind w:left="120"/>
              <w:spacing w:after="0"/>
              <w:rPr>
                <w:sz w:val="20"/>
                <w:szCs w:val="20"/>
                <w:color w:val="auto"/>
              </w:rPr>
            </w:pPr>
            <w:r>
              <w:rPr>
                <w:rFonts w:ascii="Arial" w:cs="Arial" w:eastAsia="Arial" w:hAnsi="Arial"/>
                <w:sz w:val="7"/>
                <w:szCs w:val="7"/>
                <w:b w:val="1"/>
                <w:bCs w:val="1"/>
                <w:color w:val="auto"/>
              </w:rPr>
              <w:t>Total liabilities and stockholders’ equity</w:t>
            </w:r>
          </w:p>
        </w:tc>
        <w:tc>
          <w:tcPr>
            <w:tcW w:w="1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5,713,444</w:t>
            </w: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4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jc w:val="right"/>
              <w:ind w:right="16"/>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5,099,275</w:t>
            </w:r>
          </w:p>
        </w:tc>
        <w:tc>
          <w:tcPr>
            <w:tcW w:w="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98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w:t>
            </w: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5,032,813</w:t>
            </w:r>
          </w:p>
        </w:tc>
        <w:tc>
          <w:tcPr>
            <w:tcW w:w="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9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tcPr>
          <w:p>
            <w:pPr>
              <w:spacing w:after="0"/>
              <w:rPr>
                <w:sz w:val="20"/>
                <w:szCs w:val="20"/>
                <w:color w:val="auto"/>
              </w:rPr>
            </w:pPr>
            <w:r>
              <w:rPr>
                <w:rFonts w:ascii="Arial" w:cs="Arial" w:eastAsia="Arial" w:hAnsi="Arial"/>
                <w:sz w:val="7"/>
                <w:szCs w:val="7"/>
                <w:color w:val="auto"/>
              </w:rPr>
              <w:t xml:space="preserve">Net interest income/Net interest margin </w:t>
            </w:r>
            <w:r>
              <w:rPr>
                <w:rFonts w:ascii="Arial" w:cs="Arial" w:eastAsia="Arial" w:hAnsi="Arial"/>
                <w:sz w:val="9"/>
                <w:szCs w:val="9"/>
                <w:color w:val="auto"/>
                <w:vertAlign w:val="superscript"/>
              </w:rPr>
              <w:t>(1)</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7"/>
                <w:szCs w:val="7"/>
                <w:color w:val="auto"/>
              </w:rPr>
              <w:t>$</w:t>
            </w: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56,387</w:t>
            </w:r>
          </w:p>
        </w:tc>
        <w:tc>
          <w:tcPr>
            <w:tcW w:w="80" w:type="dxa"/>
            <w:vAlign w:val="bottom"/>
          </w:tcPr>
          <w:p>
            <w:pPr>
              <w:spacing w:after="0"/>
              <w:rPr>
                <w:sz w:val="9"/>
                <w:szCs w:val="9"/>
                <w:color w:val="auto"/>
              </w:rPr>
            </w:pPr>
          </w:p>
        </w:tc>
        <w:tc>
          <w:tcPr>
            <w:tcW w:w="980" w:type="dxa"/>
            <w:vAlign w:val="bottom"/>
          </w:tcPr>
          <w:p>
            <w:pPr>
              <w:ind w:left="740"/>
              <w:spacing w:after="0"/>
              <w:rPr>
                <w:sz w:val="20"/>
                <w:szCs w:val="20"/>
                <w:color w:val="auto"/>
              </w:rPr>
            </w:pPr>
            <w:r>
              <w:rPr>
                <w:rFonts w:ascii="Arial" w:cs="Arial" w:eastAsia="Arial" w:hAnsi="Arial"/>
                <w:sz w:val="7"/>
                <w:szCs w:val="7"/>
                <w:color w:val="auto"/>
              </w:rPr>
              <w:t>4.20 %</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7"/>
                <w:szCs w:val="7"/>
                <w:color w:val="auto"/>
              </w:rPr>
              <w:t>$</w:t>
            </w:r>
          </w:p>
        </w:tc>
        <w:tc>
          <w:tcPr>
            <w:tcW w:w="720" w:type="dxa"/>
            <w:vAlign w:val="bottom"/>
          </w:tcPr>
          <w:p>
            <w:pPr>
              <w:jc w:val="right"/>
              <w:ind w:right="4"/>
              <w:spacing w:after="0"/>
              <w:rPr>
                <w:sz w:val="20"/>
                <w:szCs w:val="20"/>
                <w:color w:val="auto"/>
              </w:rPr>
            </w:pPr>
            <w:r>
              <w:rPr>
                <w:rFonts w:ascii="Arial" w:cs="Arial" w:eastAsia="Arial" w:hAnsi="Arial"/>
                <w:sz w:val="7"/>
                <w:szCs w:val="7"/>
                <w:color w:val="auto"/>
              </w:rPr>
              <w:t>50,543</w:t>
            </w:r>
          </w:p>
        </w:tc>
        <w:tc>
          <w:tcPr>
            <w:tcW w:w="80" w:type="dxa"/>
            <w:vAlign w:val="bottom"/>
          </w:tcPr>
          <w:p>
            <w:pPr>
              <w:spacing w:after="0"/>
              <w:rPr>
                <w:sz w:val="9"/>
                <w:szCs w:val="9"/>
                <w:color w:val="auto"/>
              </w:rPr>
            </w:pPr>
          </w:p>
        </w:tc>
        <w:tc>
          <w:tcPr>
            <w:tcW w:w="980" w:type="dxa"/>
            <w:vAlign w:val="bottom"/>
          </w:tcPr>
          <w:p>
            <w:pPr>
              <w:jc w:val="right"/>
              <w:spacing w:after="0"/>
              <w:rPr>
                <w:sz w:val="20"/>
                <w:szCs w:val="20"/>
                <w:color w:val="auto"/>
              </w:rPr>
            </w:pPr>
            <w:r>
              <w:rPr>
                <w:rFonts w:ascii="Arial" w:cs="Arial" w:eastAsia="Arial" w:hAnsi="Arial"/>
                <w:sz w:val="7"/>
                <w:szCs w:val="7"/>
                <w:color w:val="auto"/>
              </w:rPr>
              <w:t>4.12 %</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7"/>
                <w:szCs w:val="7"/>
                <w:color w:val="auto"/>
              </w:rPr>
              <w:t>$</w:t>
            </w:r>
          </w:p>
        </w:tc>
        <w:tc>
          <w:tcPr>
            <w:tcW w:w="740" w:type="dxa"/>
            <w:vAlign w:val="bottom"/>
          </w:tcPr>
          <w:p>
            <w:pPr>
              <w:jc w:val="right"/>
              <w:spacing w:after="0"/>
              <w:rPr>
                <w:sz w:val="20"/>
                <w:szCs w:val="20"/>
                <w:color w:val="auto"/>
              </w:rPr>
            </w:pPr>
            <w:r>
              <w:rPr>
                <w:rFonts w:ascii="Arial" w:cs="Arial" w:eastAsia="Arial" w:hAnsi="Arial"/>
                <w:sz w:val="7"/>
                <w:szCs w:val="7"/>
                <w:color w:val="auto"/>
              </w:rPr>
              <w:t>48,708</w:t>
            </w:r>
          </w:p>
        </w:tc>
        <w:tc>
          <w:tcPr>
            <w:tcW w:w="100" w:type="dxa"/>
            <w:vAlign w:val="bottom"/>
          </w:tcPr>
          <w:p>
            <w:pPr>
              <w:spacing w:after="0"/>
              <w:rPr>
                <w:sz w:val="9"/>
                <w:szCs w:val="9"/>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4.12 %</w:t>
            </w:r>
          </w:p>
        </w:tc>
        <w:tc>
          <w:tcPr>
            <w:tcW w:w="0" w:type="dxa"/>
            <w:vAlign w:val="bottom"/>
          </w:tcPr>
          <w:p>
            <w:pPr>
              <w:spacing w:after="0"/>
              <w:rPr>
                <w:sz w:val="1"/>
                <w:szCs w:val="1"/>
                <w:color w:val="auto"/>
              </w:rPr>
            </w:pPr>
          </w:p>
        </w:tc>
      </w:tr>
      <w:tr>
        <w:trPr>
          <w:trHeight w:val="108"/>
        </w:trPr>
        <w:tc>
          <w:tcPr>
            <w:tcW w:w="2580" w:type="dxa"/>
            <w:vAlign w:val="bottom"/>
            <w:shd w:val="clear" w:color="auto" w:fill="CCEEFF"/>
          </w:tcPr>
          <w:p>
            <w:pPr>
              <w:spacing w:after="0"/>
              <w:rPr>
                <w:sz w:val="20"/>
                <w:szCs w:val="20"/>
                <w:color w:val="auto"/>
              </w:rPr>
            </w:pPr>
            <w:r>
              <w:rPr>
                <w:rFonts w:ascii="Arial" w:cs="Arial" w:eastAsia="Arial" w:hAnsi="Arial"/>
                <w:sz w:val="7"/>
                <w:szCs w:val="7"/>
                <w:color w:val="auto"/>
              </w:rPr>
              <w:t xml:space="preserve">Tax-equivalent adjustment </w:t>
            </w:r>
            <w:r>
              <w:rPr>
                <w:rFonts w:ascii="Arial" w:cs="Arial" w:eastAsia="Arial" w:hAnsi="Arial"/>
                <w:sz w:val="9"/>
                <w:szCs w:val="9"/>
                <w:color w:val="auto"/>
                <w:vertAlign w:val="superscript"/>
              </w:rPr>
              <w:t>(2)</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649</w:t>
            </w:r>
          </w:p>
        </w:tc>
        <w:tc>
          <w:tcPr>
            <w:tcW w:w="80" w:type="dxa"/>
            <w:vAlign w:val="bottom"/>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7"/>
                <w:szCs w:val="7"/>
                <w:color w:val="auto"/>
              </w:rPr>
              <w:t>0.05</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7"/>
                <w:szCs w:val="7"/>
                <w:color w:val="auto"/>
              </w:rPr>
              <w:t>558</w:t>
            </w:r>
          </w:p>
        </w:tc>
        <w:tc>
          <w:tcPr>
            <w:tcW w:w="80" w:type="dxa"/>
            <w:vAlign w:val="bottom"/>
            <w:shd w:val="clear" w:color="auto" w:fill="CCEEFF"/>
          </w:tcPr>
          <w:p>
            <w:pPr>
              <w:spacing w:after="0"/>
              <w:rPr>
                <w:sz w:val="9"/>
                <w:szCs w:val="9"/>
                <w:color w:val="auto"/>
              </w:rPr>
            </w:pPr>
          </w:p>
        </w:tc>
        <w:tc>
          <w:tcPr>
            <w:tcW w:w="98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7"/>
                <w:szCs w:val="7"/>
                <w:color w:val="auto"/>
              </w:rPr>
              <w:t>0.04</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545</w:t>
            </w:r>
          </w:p>
        </w:tc>
        <w:tc>
          <w:tcPr>
            <w:tcW w:w="100" w:type="dxa"/>
            <w:vAlign w:val="bottom"/>
            <w:shd w:val="clear" w:color="auto" w:fill="CCEEFF"/>
          </w:tcPr>
          <w:p>
            <w:pPr>
              <w:spacing w:after="0"/>
              <w:rPr>
                <w:sz w:val="9"/>
                <w:szCs w:val="9"/>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7"/>
                <w:szCs w:val="7"/>
                <w:color w:val="auto"/>
              </w:rPr>
              <w:t>0.04</w:t>
            </w:r>
          </w:p>
        </w:tc>
        <w:tc>
          <w:tcPr>
            <w:tcW w:w="0" w:type="dxa"/>
            <w:vAlign w:val="bottom"/>
          </w:tcPr>
          <w:p>
            <w:pPr>
              <w:spacing w:after="0"/>
              <w:rPr>
                <w:sz w:val="1"/>
                <w:szCs w:val="1"/>
                <w:color w:val="auto"/>
              </w:rPr>
            </w:pPr>
          </w:p>
        </w:tc>
      </w:tr>
      <w:tr>
        <w:trPr>
          <w:trHeight w:val="52"/>
        </w:trPr>
        <w:tc>
          <w:tcPr>
            <w:tcW w:w="2580" w:type="dxa"/>
            <w:vAlign w:val="bottom"/>
          </w:tcPr>
          <w:p>
            <w:pPr>
              <w:spacing w:after="0" w:line="52" w:lineRule="exact"/>
              <w:rPr>
                <w:sz w:val="20"/>
                <w:szCs w:val="20"/>
                <w:color w:val="auto"/>
              </w:rPr>
            </w:pPr>
            <w:r>
              <w:rPr>
                <w:rFonts w:ascii="Arial" w:cs="Arial" w:eastAsia="Arial" w:hAnsi="Arial"/>
                <w:sz w:val="6"/>
                <w:szCs w:val="6"/>
                <w:color w:val="auto"/>
              </w:rPr>
              <w:t>Net interest income (tax-equivalent basis)/</w:t>
            </w: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7"/>
                <w:szCs w:val="7"/>
                <w:color w:val="auto"/>
              </w:rPr>
              <w:t>$</w:t>
            </w:r>
          </w:p>
        </w:tc>
        <w:tc>
          <w:tcPr>
            <w:tcW w:w="740" w:type="dxa"/>
            <w:vAlign w:val="bottom"/>
            <w:vMerge w:val="restart"/>
          </w:tcPr>
          <w:p>
            <w:pPr>
              <w:jc w:val="right"/>
              <w:ind w:right="4"/>
              <w:spacing w:after="0"/>
              <w:rPr>
                <w:sz w:val="20"/>
                <w:szCs w:val="20"/>
                <w:color w:val="auto"/>
              </w:rPr>
            </w:pPr>
            <w:r>
              <w:rPr>
                <w:rFonts w:ascii="Arial" w:cs="Arial" w:eastAsia="Arial" w:hAnsi="Arial"/>
                <w:sz w:val="7"/>
                <w:szCs w:val="7"/>
                <w:color w:val="auto"/>
              </w:rPr>
              <w:t>57,036</w:t>
            </w:r>
          </w:p>
        </w:tc>
        <w:tc>
          <w:tcPr>
            <w:tcW w:w="80" w:type="dxa"/>
            <w:vAlign w:val="bottom"/>
          </w:tcPr>
          <w:p>
            <w:pPr>
              <w:spacing w:after="0"/>
              <w:rPr>
                <w:sz w:val="4"/>
                <w:szCs w:val="4"/>
                <w:color w:val="auto"/>
              </w:rPr>
            </w:pPr>
          </w:p>
        </w:tc>
        <w:tc>
          <w:tcPr>
            <w:tcW w:w="980" w:type="dxa"/>
            <w:vAlign w:val="bottom"/>
            <w:vMerge w:val="restart"/>
          </w:tcPr>
          <w:p>
            <w:pPr>
              <w:ind w:left="740"/>
              <w:spacing w:after="0"/>
              <w:rPr>
                <w:sz w:val="20"/>
                <w:szCs w:val="20"/>
                <w:color w:val="auto"/>
              </w:rPr>
            </w:pPr>
            <w:r>
              <w:rPr>
                <w:rFonts w:ascii="Arial" w:cs="Arial" w:eastAsia="Arial" w:hAnsi="Arial"/>
                <w:sz w:val="7"/>
                <w:szCs w:val="7"/>
                <w:color w:val="auto"/>
              </w:rPr>
              <w:t>4.25 %</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gridSpan w:val="2"/>
            <w:vMerge w:val="restart"/>
          </w:tcPr>
          <w:p>
            <w:pPr>
              <w:jc w:val="right"/>
              <w:ind w:right="40"/>
              <w:spacing w:after="0"/>
              <w:rPr>
                <w:sz w:val="20"/>
                <w:szCs w:val="20"/>
                <w:color w:val="auto"/>
              </w:rPr>
            </w:pPr>
            <w:r>
              <w:rPr>
                <w:rFonts w:ascii="Arial" w:cs="Arial" w:eastAsia="Arial" w:hAnsi="Arial"/>
                <w:sz w:val="7"/>
                <w:szCs w:val="7"/>
                <w:color w:val="auto"/>
              </w:rPr>
              <w:t>$</w:t>
            </w:r>
          </w:p>
        </w:tc>
        <w:tc>
          <w:tcPr>
            <w:tcW w:w="720" w:type="dxa"/>
            <w:vAlign w:val="bottom"/>
            <w:vMerge w:val="restart"/>
          </w:tcPr>
          <w:p>
            <w:pPr>
              <w:jc w:val="right"/>
              <w:ind w:right="4"/>
              <w:spacing w:after="0"/>
              <w:rPr>
                <w:sz w:val="20"/>
                <w:szCs w:val="20"/>
                <w:color w:val="auto"/>
              </w:rPr>
            </w:pPr>
            <w:r>
              <w:rPr>
                <w:rFonts w:ascii="Arial" w:cs="Arial" w:eastAsia="Arial" w:hAnsi="Arial"/>
                <w:sz w:val="7"/>
                <w:szCs w:val="7"/>
                <w:color w:val="auto"/>
              </w:rPr>
              <w:t>51,101</w:t>
            </w:r>
          </w:p>
        </w:tc>
        <w:tc>
          <w:tcPr>
            <w:tcW w:w="80" w:type="dxa"/>
            <w:vAlign w:val="bottom"/>
          </w:tcPr>
          <w:p>
            <w:pPr>
              <w:spacing w:after="0"/>
              <w:rPr>
                <w:sz w:val="4"/>
                <w:szCs w:val="4"/>
                <w:color w:val="auto"/>
              </w:rPr>
            </w:pPr>
          </w:p>
        </w:tc>
        <w:tc>
          <w:tcPr>
            <w:tcW w:w="980" w:type="dxa"/>
            <w:vAlign w:val="bottom"/>
            <w:vMerge w:val="restart"/>
          </w:tcPr>
          <w:p>
            <w:pPr>
              <w:jc w:val="right"/>
              <w:spacing w:after="0"/>
              <w:rPr>
                <w:sz w:val="20"/>
                <w:szCs w:val="20"/>
                <w:color w:val="auto"/>
              </w:rPr>
            </w:pPr>
            <w:r>
              <w:rPr>
                <w:rFonts w:ascii="Arial" w:cs="Arial" w:eastAsia="Arial" w:hAnsi="Arial"/>
                <w:sz w:val="7"/>
                <w:szCs w:val="7"/>
                <w:color w:val="auto"/>
              </w:rPr>
              <w:t>4.16 %</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gridSpan w:val="2"/>
            <w:vMerge w:val="restart"/>
          </w:tcPr>
          <w:p>
            <w:pPr>
              <w:jc w:val="right"/>
              <w:ind w:right="80"/>
              <w:spacing w:after="0"/>
              <w:rPr>
                <w:sz w:val="20"/>
                <w:szCs w:val="20"/>
                <w:color w:val="auto"/>
              </w:rPr>
            </w:pPr>
            <w:r>
              <w:rPr>
                <w:rFonts w:ascii="Arial" w:cs="Arial" w:eastAsia="Arial" w:hAnsi="Arial"/>
                <w:sz w:val="7"/>
                <w:szCs w:val="7"/>
                <w:color w:val="auto"/>
              </w:rPr>
              <w:t>$</w:t>
            </w:r>
          </w:p>
        </w:tc>
        <w:tc>
          <w:tcPr>
            <w:tcW w:w="740" w:type="dxa"/>
            <w:vAlign w:val="bottom"/>
            <w:vMerge w:val="restart"/>
          </w:tcPr>
          <w:p>
            <w:pPr>
              <w:jc w:val="right"/>
              <w:spacing w:after="0"/>
              <w:rPr>
                <w:sz w:val="20"/>
                <w:szCs w:val="20"/>
                <w:color w:val="auto"/>
              </w:rPr>
            </w:pPr>
            <w:r>
              <w:rPr>
                <w:rFonts w:ascii="Arial" w:cs="Arial" w:eastAsia="Arial" w:hAnsi="Arial"/>
                <w:sz w:val="7"/>
                <w:szCs w:val="7"/>
                <w:color w:val="auto"/>
              </w:rPr>
              <w:t>49,253</w:t>
            </w:r>
          </w:p>
        </w:tc>
        <w:tc>
          <w:tcPr>
            <w:tcW w:w="100" w:type="dxa"/>
            <w:vAlign w:val="bottom"/>
          </w:tcPr>
          <w:p>
            <w:pPr>
              <w:spacing w:after="0"/>
              <w:rPr>
                <w:sz w:val="4"/>
                <w:szCs w:val="4"/>
                <w:color w:val="auto"/>
              </w:rPr>
            </w:pPr>
          </w:p>
        </w:tc>
        <w:tc>
          <w:tcPr>
            <w:tcW w:w="940" w:type="dxa"/>
            <w:vAlign w:val="bottom"/>
            <w:vMerge w:val="restart"/>
          </w:tcPr>
          <w:p>
            <w:pPr>
              <w:ind w:left="700"/>
              <w:spacing w:after="0"/>
              <w:rPr>
                <w:sz w:val="20"/>
                <w:szCs w:val="20"/>
                <w:color w:val="auto"/>
              </w:rPr>
            </w:pPr>
            <w:r>
              <w:rPr>
                <w:rFonts w:ascii="Arial" w:cs="Arial" w:eastAsia="Arial" w:hAnsi="Arial"/>
                <w:sz w:val="7"/>
                <w:szCs w:val="7"/>
                <w:color w:val="auto"/>
              </w:rPr>
              <w:t>4.16 %</w:t>
            </w:r>
          </w:p>
        </w:tc>
        <w:tc>
          <w:tcPr>
            <w:tcW w:w="0" w:type="dxa"/>
            <w:vAlign w:val="bottom"/>
          </w:tcPr>
          <w:p>
            <w:pPr>
              <w:spacing w:after="0"/>
              <w:rPr>
                <w:sz w:val="1"/>
                <w:szCs w:val="1"/>
                <w:color w:val="auto"/>
              </w:rPr>
            </w:pPr>
          </w:p>
        </w:tc>
      </w:tr>
      <w:tr>
        <w:trPr>
          <w:trHeight w:val="106"/>
        </w:trPr>
        <w:tc>
          <w:tcPr>
            <w:tcW w:w="2580" w:type="dxa"/>
            <w:vAlign w:val="bottom"/>
          </w:tcPr>
          <w:p>
            <w:pPr>
              <w:spacing w:after="0" w:line="90" w:lineRule="exact"/>
              <w:rPr>
                <w:sz w:val="20"/>
                <w:szCs w:val="20"/>
                <w:color w:val="auto"/>
              </w:rPr>
            </w:pPr>
            <w:r>
              <w:rPr>
                <w:rFonts w:ascii="Arial" w:cs="Arial" w:eastAsia="Arial" w:hAnsi="Arial"/>
                <w:sz w:val="7"/>
                <w:szCs w:val="7"/>
                <w:color w:val="auto"/>
              </w:rPr>
              <w:t xml:space="preserve">Net interest margin (tax-equivalent basis) </w:t>
            </w:r>
            <w:r>
              <w:rPr>
                <w:rFonts w:ascii="Arial" w:cs="Arial" w:eastAsia="Arial" w:hAnsi="Arial"/>
                <w:sz w:val="9"/>
                <w:szCs w:val="9"/>
                <w:color w:val="auto"/>
                <w:vertAlign w:val="superscript"/>
              </w:rPr>
              <w:t>(2) (3)</w:t>
            </w: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gridSpan w:val="2"/>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7"/>
                <w:szCs w:val="7"/>
                <w:color w:val="auto"/>
              </w:rPr>
              <w:t xml:space="preserve">Net interest rate spread </w:t>
            </w:r>
            <w:r>
              <w:rPr>
                <w:rFonts w:ascii="Arial" w:cs="Arial" w:eastAsia="Arial" w:hAnsi="Arial"/>
                <w:sz w:val="9"/>
                <w:szCs w:val="9"/>
                <w:color w:val="auto"/>
                <w:vertAlign w:val="superscript"/>
              </w:rPr>
              <w:t>(4)</w:t>
            </w:r>
          </w:p>
        </w:tc>
        <w:tc>
          <w:tcPr>
            <w:tcW w:w="100" w:type="dxa"/>
            <w:vAlign w:val="bottom"/>
            <w:tcBorders>
              <w:top w:val="single" w:sz="8" w:color="CCEEFF"/>
              <w:bottom w:val="single" w:sz="8" w:color="auto"/>
            </w:tcBorders>
            <w:shd w:val="clear" w:color="auto" w:fill="CCEEFF"/>
          </w:tcPr>
          <w:p>
            <w:pPr>
              <w:spacing w:after="0"/>
              <w:rPr>
                <w:sz w:val="9"/>
                <w:szCs w:val="9"/>
                <w:color w:val="auto"/>
              </w:rPr>
            </w:pPr>
          </w:p>
        </w:tc>
        <w:tc>
          <w:tcPr>
            <w:tcW w:w="760" w:type="dxa"/>
            <w:vAlign w:val="bottom"/>
            <w:tcBorders>
              <w:top w:val="single" w:sz="8" w:color="CCEEFF"/>
              <w:bottom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7"/>
                <w:szCs w:val="7"/>
                <w:color w:val="auto"/>
              </w:rPr>
              <w:t>3.72 %</w:t>
            </w: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auto"/>
            </w:tcBorders>
            <w:shd w:val="clear" w:color="auto" w:fill="CCEEFF"/>
          </w:tcPr>
          <w:p>
            <w:pPr>
              <w:spacing w:after="0"/>
              <w:rPr>
                <w:sz w:val="9"/>
                <w:szCs w:val="9"/>
                <w:color w:val="auto"/>
              </w:rPr>
            </w:pPr>
          </w:p>
        </w:tc>
        <w:tc>
          <w:tcPr>
            <w:tcW w:w="740" w:type="dxa"/>
            <w:vAlign w:val="bottom"/>
            <w:tcBorders>
              <w:top w:val="single" w:sz="8" w:color="CCEEFF"/>
              <w:bottom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7"/>
                <w:szCs w:val="7"/>
                <w:color w:val="auto"/>
              </w:rPr>
              <w:t>3.62 %</w:t>
            </w: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bottom w:val="single" w:sz="8" w:color="auto"/>
            </w:tcBorders>
            <w:shd w:val="clear" w:color="auto" w:fill="CCEEFF"/>
          </w:tcPr>
          <w:p>
            <w:pPr>
              <w:spacing w:after="0"/>
              <w:rPr>
                <w:sz w:val="9"/>
                <w:szCs w:val="9"/>
                <w:color w:val="auto"/>
              </w:rPr>
            </w:pPr>
          </w:p>
        </w:tc>
        <w:tc>
          <w:tcPr>
            <w:tcW w:w="780" w:type="dxa"/>
            <w:vAlign w:val="bottom"/>
            <w:tcBorders>
              <w:top w:val="single" w:sz="8" w:color="CCEEFF"/>
              <w:bottom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7"/>
                <w:szCs w:val="7"/>
                <w:color w:val="auto"/>
              </w:rPr>
              <w:t>3.62 %</w:t>
            </w:r>
          </w:p>
        </w:tc>
        <w:tc>
          <w:tcPr>
            <w:tcW w:w="0" w:type="dxa"/>
            <w:vAlign w:val="bottom"/>
          </w:tcPr>
          <w:p>
            <w:pPr>
              <w:spacing w:after="0"/>
              <w:rPr>
                <w:sz w:val="1"/>
                <w:szCs w:val="1"/>
                <w:color w:val="auto"/>
              </w:rPr>
            </w:pPr>
          </w:p>
        </w:tc>
      </w:tr>
      <w:tr>
        <w:trPr>
          <w:trHeight w:val="113"/>
        </w:trPr>
        <w:tc>
          <w:tcPr>
            <w:tcW w:w="2580" w:type="dxa"/>
            <w:vAlign w:val="bottom"/>
            <w:tcBorders>
              <w:bottom w:val="single" w:sz="8" w:color="CCEEFF"/>
            </w:tcBorders>
          </w:tcPr>
          <w:p>
            <w:pPr>
              <w:spacing w:after="0" w:line="97" w:lineRule="exact"/>
              <w:rPr>
                <w:sz w:val="20"/>
                <w:szCs w:val="20"/>
                <w:color w:val="auto"/>
              </w:rPr>
            </w:pPr>
            <w:r>
              <w:rPr>
                <w:rFonts w:ascii="Arial" w:cs="Arial" w:eastAsia="Arial" w:hAnsi="Arial"/>
                <w:sz w:val="7"/>
                <w:szCs w:val="7"/>
                <w:color w:val="auto"/>
              </w:rPr>
              <w:t xml:space="preserve">Net interest-earning assets </w:t>
            </w:r>
            <w:r>
              <w:rPr>
                <w:rFonts w:ascii="Arial" w:cs="Arial" w:eastAsia="Arial" w:hAnsi="Arial"/>
                <w:sz w:val="9"/>
                <w:szCs w:val="9"/>
                <w:color w:val="auto"/>
                <w:vertAlign w:val="superscript"/>
              </w:rPr>
              <w:t>(5)</w:t>
            </w:r>
          </w:p>
        </w:tc>
        <w:tc>
          <w:tcPr>
            <w:tcW w:w="100" w:type="dxa"/>
            <w:vAlign w:val="bottom"/>
            <w:tcBorders>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1,597,412</w:t>
            </w:r>
          </w:p>
        </w:tc>
        <w:tc>
          <w:tcPr>
            <w:tcW w:w="8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74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80" w:type="dxa"/>
            <w:vAlign w:val="bottom"/>
            <w:tcBorders>
              <w:bottom w:val="single" w:sz="8" w:color="auto"/>
            </w:tcBorders>
          </w:tcPr>
          <w:p>
            <w:pPr>
              <w:jc w:val="right"/>
              <w:ind w:right="16"/>
              <w:spacing w:after="0"/>
              <w:rPr>
                <w:sz w:val="20"/>
                <w:szCs w:val="20"/>
                <w:color w:val="auto"/>
              </w:rPr>
            </w:pPr>
            <w:r>
              <w:rPr>
                <w:rFonts w:ascii="Arial" w:cs="Arial" w:eastAsia="Arial" w:hAnsi="Arial"/>
                <w:sz w:val="5"/>
                <w:szCs w:val="5"/>
                <w:color w:val="auto"/>
                <w:w w:val="70"/>
              </w:rPr>
              <w:t>$</w:t>
            </w: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1,486,648</w:t>
            </w:r>
          </w:p>
        </w:tc>
        <w:tc>
          <w:tcPr>
            <w:tcW w:w="8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72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9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w:t>
            </w: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1,402,029</w:t>
            </w:r>
          </w:p>
        </w:tc>
        <w:tc>
          <w:tcPr>
            <w:tcW w:w="8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74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94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shd w:val="clear" w:color="auto" w:fill="CCEEFF"/>
          </w:tcPr>
          <w:p>
            <w:pPr>
              <w:spacing w:after="0"/>
              <w:rPr>
                <w:sz w:val="20"/>
                <w:szCs w:val="20"/>
                <w:color w:val="auto"/>
              </w:rPr>
            </w:pPr>
            <w:r>
              <w:rPr>
                <w:rFonts w:ascii="Arial" w:cs="Arial" w:eastAsia="Arial" w:hAnsi="Arial"/>
                <w:sz w:val="7"/>
                <w:szCs w:val="7"/>
                <w:color w:val="auto"/>
              </w:rPr>
              <w:t>Ratio of interest-earning assets to interest-bearing liabilities</w:t>
            </w: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7"/>
                <w:szCs w:val="7"/>
                <w:color w:val="auto"/>
              </w:rPr>
              <w:t>1.42</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7"/>
                <w:szCs w:val="7"/>
                <w:color w:val="auto"/>
              </w:rPr>
              <w:t>1.44</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7"/>
                <w:szCs w:val="7"/>
                <w:color w:val="auto"/>
              </w:rPr>
              <w:t>1.41</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580" w:type="dxa"/>
            <w:vAlign w:val="bottom"/>
          </w:tcPr>
          <w:p>
            <w:pPr>
              <w:spacing w:after="0"/>
              <w:rPr>
                <w:sz w:val="20"/>
                <w:szCs w:val="20"/>
                <w:color w:val="auto"/>
              </w:rPr>
            </w:pPr>
            <w:r>
              <w:rPr>
                <w:rFonts w:ascii="Arial" w:cs="Arial" w:eastAsia="Arial" w:hAnsi="Arial"/>
                <w:sz w:val="7"/>
                <w:szCs w:val="7"/>
                <w:color w:val="auto"/>
              </w:rPr>
              <w:t>Cost of total deposits</w:t>
            </w: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ind w:left="740"/>
              <w:spacing w:after="0"/>
              <w:rPr>
                <w:sz w:val="20"/>
                <w:szCs w:val="20"/>
                <w:color w:val="auto"/>
              </w:rPr>
            </w:pPr>
            <w:r>
              <w:rPr>
                <w:rFonts w:ascii="Arial" w:cs="Arial" w:eastAsia="Arial" w:hAnsi="Arial"/>
                <w:sz w:val="7"/>
                <w:szCs w:val="7"/>
                <w:color w:val="auto"/>
              </w:rPr>
              <w:t>1.17 %</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jc w:val="right"/>
              <w:spacing w:after="0"/>
              <w:rPr>
                <w:sz w:val="20"/>
                <w:szCs w:val="20"/>
                <w:color w:val="auto"/>
              </w:rPr>
            </w:pPr>
            <w:r>
              <w:rPr>
                <w:rFonts w:ascii="Arial" w:cs="Arial" w:eastAsia="Arial" w:hAnsi="Arial"/>
                <w:sz w:val="7"/>
                <w:szCs w:val="7"/>
                <w:color w:val="auto"/>
              </w:rPr>
              <w:t>1.16 %</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ind w:left="700"/>
              <w:spacing w:after="0"/>
              <w:rPr>
                <w:sz w:val="20"/>
                <w:szCs w:val="20"/>
                <w:color w:val="auto"/>
              </w:rPr>
            </w:pPr>
            <w:r>
              <w:rPr>
                <w:rFonts w:ascii="Arial" w:cs="Arial" w:eastAsia="Arial" w:hAnsi="Arial"/>
                <w:sz w:val="7"/>
                <w:szCs w:val="7"/>
                <w:color w:val="auto"/>
              </w:rPr>
              <w:t>1.21 %</w:t>
            </w:r>
          </w:p>
        </w:tc>
        <w:tc>
          <w:tcPr>
            <w:tcW w:w="0" w:type="dxa"/>
            <w:vAlign w:val="bottom"/>
          </w:tcPr>
          <w:p>
            <w:pPr>
              <w:spacing w:after="0"/>
              <w:rPr>
                <w:sz w:val="1"/>
                <w:szCs w:val="1"/>
                <w:color w:val="auto"/>
              </w:rPr>
            </w:pPr>
          </w:p>
        </w:tc>
      </w:tr>
      <w:tr>
        <w:trPr>
          <w:trHeight w:val="115"/>
        </w:trPr>
        <w:tc>
          <w:tcPr>
            <w:tcW w:w="2580" w:type="dxa"/>
            <w:vAlign w:val="bottom"/>
            <w:shd w:val="clear" w:color="auto" w:fill="CCEEFF"/>
          </w:tcPr>
          <w:p>
            <w:pPr>
              <w:spacing w:after="0"/>
              <w:rPr>
                <w:sz w:val="20"/>
                <w:szCs w:val="20"/>
                <w:color w:val="auto"/>
              </w:rPr>
            </w:pPr>
            <w:r>
              <w:rPr>
                <w:rFonts w:ascii="Arial" w:cs="Arial" w:eastAsia="Arial" w:hAnsi="Arial"/>
                <w:sz w:val="7"/>
                <w:szCs w:val="7"/>
                <w:color w:val="auto"/>
              </w:rPr>
              <w:t>Cost of funds</w:t>
            </w: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ind w:left="740"/>
              <w:spacing w:after="0"/>
              <w:rPr>
                <w:sz w:val="20"/>
                <w:szCs w:val="20"/>
                <w:color w:val="auto"/>
              </w:rPr>
            </w:pPr>
            <w:r>
              <w:rPr>
                <w:rFonts w:ascii="Arial" w:cs="Arial" w:eastAsia="Arial" w:hAnsi="Arial"/>
                <w:sz w:val="7"/>
                <w:szCs w:val="7"/>
                <w:color w:val="auto"/>
              </w:rPr>
              <w:t>1.25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shd w:val="clear" w:color="auto" w:fill="CCEEFF"/>
          </w:tcPr>
          <w:p>
            <w:pPr>
              <w:jc w:val="right"/>
              <w:ind w:right="64"/>
              <w:spacing w:after="0"/>
              <w:rPr>
                <w:sz w:val="20"/>
                <w:szCs w:val="20"/>
                <w:color w:val="auto"/>
              </w:rPr>
            </w:pPr>
            <w:r>
              <w:rPr>
                <w:rFonts w:ascii="Arial" w:cs="Arial" w:eastAsia="Arial" w:hAnsi="Arial"/>
                <w:sz w:val="7"/>
                <w:szCs w:val="7"/>
                <w:color w:val="auto"/>
              </w:rPr>
              <w:t>1.23</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7"/>
                <w:szCs w:val="7"/>
                <w:color w:val="auto"/>
              </w:rPr>
              <w:t>1.32</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____________________________________</w:t>
      </w:r>
    </w:p>
    <w:p>
      <w:pPr>
        <w:spacing w:after="0" w:line="10" w:lineRule="exact"/>
        <w:rPr>
          <w:sz w:val="20"/>
          <w:szCs w:val="20"/>
          <w:color w:val="auto"/>
        </w:rPr>
      </w:pPr>
    </w:p>
    <w:p>
      <w:pPr>
        <w:ind w:left="208" w:hanging="208"/>
        <w:spacing w:after="0"/>
        <w:tabs>
          <w:tab w:leader="none" w:pos="208" w:val="left"/>
        </w:tabs>
        <w:numPr>
          <w:ilvl w:val="0"/>
          <w:numId w:val="7"/>
        </w:numPr>
        <w:rPr>
          <w:rFonts w:ascii="Arial" w:cs="Arial" w:eastAsia="Arial" w:hAnsi="Arial"/>
          <w:sz w:val="10"/>
          <w:szCs w:val="10"/>
          <w:color w:val="auto"/>
        </w:rPr>
      </w:pPr>
      <w:r>
        <w:rPr>
          <w:rFonts w:ascii="Arial" w:cs="Arial" w:eastAsia="Arial" w:hAnsi="Arial"/>
          <w:sz w:val="10"/>
          <w:szCs w:val="10"/>
          <w:color w:val="auto"/>
        </w:rPr>
        <w:t>Annualized measure.</w:t>
      </w:r>
    </w:p>
    <w:p>
      <w:pPr>
        <w:spacing w:after="0" w:line="2" w:lineRule="exact"/>
        <w:rPr>
          <w:sz w:val="20"/>
          <w:szCs w:val="20"/>
          <w:color w:val="auto"/>
        </w:rPr>
      </w:pPr>
    </w:p>
    <w:p>
      <w:pPr>
        <w:ind w:left="208" w:hanging="208"/>
        <w:spacing w:after="0"/>
        <w:tabs>
          <w:tab w:leader="none" w:pos="208" w:val="left"/>
        </w:tabs>
        <w:numPr>
          <w:ilvl w:val="0"/>
          <w:numId w:val="8"/>
        </w:numPr>
        <w:rPr>
          <w:rFonts w:ascii="Arial" w:cs="Arial" w:eastAsia="Arial" w:hAnsi="Arial"/>
          <w:sz w:val="10"/>
          <w:szCs w:val="10"/>
          <w:color w:val="auto"/>
        </w:rPr>
      </w:pPr>
      <w:r>
        <w:rPr>
          <w:rFonts w:ascii="Arial" w:cs="Arial" w:eastAsia="Arial" w:hAnsi="Arial"/>
          <w:sz w:val="10"/>
          <w:szCs w:val="10"/>
          <w:color w:val="auto"/>
        </w:rPr>
        <w:t>Net interest margin represents net interest income divided by average total interest-earning assets.</w:t>
      </w:r>
    </w:p>
    <w:p>
      <w:pPr>
        <w:spacing w:after="0" w:line="2" w:lineRule="exact"/>
        <w:rPr>
          <w:rFonts w:ascii="Arial" w:cs="Arial" w:eastAsia="Arial" w:hAnsi="Arial"/>
          <w:sz w:val="10"/>
          <w:szCs w:val="10"/>
          <w:color w:val="auto"/>
        </w:rPr>
      </w:pPr>
    </w:p>
    <w:p>
      <w:pPr>
        <w:ind w:left="208" w:hanging="208"/>
        <w:spacing w:after="0" w:line="225" w:lineRule="auto"/>
        <w:tabs>
          <w:tab w:leader="none" w:pos="208" w:val="left"/>
        </w:tabs>
        <w:numPr>
          <w:ilvl w:val="0"/>
          <w:numId w:val="8"/>
        </w:numPr>
        <w:rPr>
          <w:rFonts w:ascii="Arial" w:cs="Arial" w:eastAsia="Arial" w:hAnsi="Arial"/>
          <w:sz w:val="10"/>
          <w:szCs w:val="10"/>
          <w:color w:val="auto"/>
        </w:rPr>
      </w:pPr>
      <w:r>
        <w:rPr>
          <w:rFonts w:ascii="Arial" w:cs="Arial" w:eastAsia="Arial" w:hAnsi="Arial"/>
          <w:sz w:val="10"/>
          <w:szCs w:val="10"/>
          <w:color w:val="auto"/>
        </w:rPr>
        <w:t>On a tax-equivalent basis assuming a federal income tax rate of 21% and a state income tax rate of 9.5%.</w:t>
      </w:r>
    </w:p>
    <w:p>
      <w:pPr>
        <w:ind w:left="208" w:hanging="208"/>
        <w:spacing w:after="0"/>
        <w:tabs>
          <w:tab w:leader="none" w:pos="208" w:val="left"/>
        </w:tabs>
        <w:numPr>
          <w:ilvl w:val="0"/>
          <w:numId w:val="8"/>
        </w:numPr>
        <w:rPr>
          <w:rFonts w:ascii="Arial" w:cs="Arial" w:eastAsia="Arial" w:hAnsi="Arial"/>
          <w:sz w:val="10"/>
          <w:szCs w:val="10"/>
          <w:color w:val="auto"/>
        </w:rPr>
      </w:pPr>
      <w:r>
        <w:rPr>
          <w:rFonts w:ascii="Arial" w:cs="Arial" w:eastAsia="Arial" w:hAnsi="Arial"/>
          <w:sz w:val="10"/>
          <w:szCs w:val="10"/>
          <w:color w:val="auto"/>
        </w:rPr>
        <w:t>See “Reconciliation of Non-GAAP Financial Measures” below for reconciliation of non-GAAP financial measures to their most closely comparable GAAP financial measures.</w:t>
      </w:r>
    </w:p>
    <w:p>
      <w:pPr>
        <w:spacing w:after="0" w:line="1" w:lineRule="exact"/>
        <w:rPr>
          <w:rFonts w:ascii="Arial" w:cs="Arial" w:eastAsia="Arial" w:hAnsi="Arial"/>
          <w:sz w:val="10"/>
          <w:szCs w:val="10"/>
          <w:color w:val="auto"/>
        </w:rPr>
      </w:pPr>
    </w:p>
    <w:p>
      <w:pPr>
        <w:ind w:left="208" w:hanging="208"/>
        <w:spacing w:after="0"/>
        <w:tabs>
          <w:tab w:leader="none" w:pos="208" w:val="left"/>
        </w:tabs>
        <w:numPr>
          <w:ilvl w:val="0"/>
          <w:numId w:val="8"/>
        </w:numPr>
        <w:rPr>
          <w:rFonts w:ascii="Arial" w:cs="Arial" w:eastAsia="Arial" w:hAnsi="Arial"/>
          <w:sz w:val="10"/>
          <w:szCs w:val="10"/>
          <w:color w:val="auto"/>
        </w:rPr>
      </w:pPr>
      <w:r>
        <w:rPr>
          <w:rFonts w:ascii="Arial" w:cs="Arial" w:eastAsia="Arial" w:hAnsi="Arial"/>
          <w:sz w:val="10"/>
          <w:szCs w:val="10"/>
          <w:color w:val="auto"/>
        </w:rPr>
        <w:t>Net interest rate spread represents the difference between the yield on average interest-earning assets and the cost of average interest-bearing liabilities.</w:t>
      </w:r>
    </w:p>
    <w:p>
      <w:pPr>
        <w:spacing w:after="0" w:line="2" w:lineRule="exact"/>
        <w:rPr>
          <w:rFonts w:ascii="Arial" w:cs="Arial" w:eastAsia="Arial" w:hAnsi="Arial"/>
          <w:sz w:val="10"/>
          <w:szCs w:val="10"/>
          <w:color w:val="auto"/>
        </w:rPr>
      </w:pPr>
    </w:p>
    <w:p>
      <w:pPr>
        <w:ind w:left="208" w:hanging="208"/>
        <w:spacing w:after="0"/>
        <w:tabs>
          <w:tab w:leader="none" w:pos="208" w:val="left"/>
        </w:tabs>
        <w:numPr>
          <w:ilvl w:val="0"/>
          <w:numId w:val="8"/>
        </w:numPr>
        <w:rPr>
          <w:rFonts w:ascii="Arial" w:cs="Arial" w:eastAsia="Arial" w:hAnsi="Arial"/>
          <w:sz w:val="10"/>
          <w:szCs w:val="10"/>
          <w:color w:val="auto"/>
        </w:rPr>
      </w:pPr>
      <w:r>
        <w:rPr>
          <w:rFonts w:ascii="Arial" w:cs="Arial" w:eastAsia="Arial" w:hAnsi="Arial"/>
          <w:sz w:val="10"/>
          <w:szCs w:val="10"/>
          <w:color w:val="auto"/>
        </w:rPr>
        <w:t>Net interest-earning assets represents total interest-earning assets less total interest-bearing liabilities.</w:t>
      </w:r>
    </w:p>
    <w:p>
      <w:pPr>
        <w:sectPr>
          <w:pgSz w:w="11900" w:h="16838" w:orient="portrait"/>
          <w:cols w:equalWidth="0" w:num="1">
            <w:col w:w="11308"/>
          </w:cols>
          <w:pgMar w:left="292" w:top="135" w:right="299" w:bottom="1440" w:gutter="0" w:footer="0" w:header="0"/>
        </w:sectPr>
      </w:pPr>
    </w:p>
    <w:bookmarkStart w:id="14" w:name="page15"/>
    <w:bookmarkEnd w:id="14"/>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12</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HBT Financial,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Unaudited Consolidated Financial Summary</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50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320" w:type="dxa"/>
            <w:vAlign w:val="bottom"/>
          </w:tcPr>
          <w:p>
            <w:pPr>
              <w:spacing w:after="0"/>
              <w:rPr>
                <w:sz w:val="10"/>
                <w:szCs w:val="10"/>
                <w:color w:val="auto"/>
              </w:rPr>
            </w:pPr>
          </w:p>
        </w:tc>
        <w:tc>
          <w:tcPr>
            <w:tcW w:w="1300" w:type="dxa"/>
            <w:vAlign w:val="bottom"/>
            <w:gridSpan w:val="2"/>
          </w:tcPr>
          <w:p>
            <w:pPr>
              <w:ind w:left="240"/>
              <w:spacing w:after="0"/>
              <w:rPr>
                <w:sz w:val="20"/>
                <w:szCs w:val="20"/>
                <w:color w:val="auto"/>
              </w:rPr>
            </w:pPr>
            <w:r>
              <w:rPr>
                <w:rFonts w:ascii="Arial" w:cs="Arial" w:eastAsia="Arial" w:hAnsi="Arial"/>
                <w:sz w:val="10"/>
                <w:szCs w:val="10"/>
                <w:b w:val="1"/>
                <w:bCs w:val="1"/>
                <w:color w:val="auto"/>
              </w:rPr>
              <w:t>March 31,</w:t>
            </w:r>
          </w:p>
        </w:tc>
        <w:tc>
          <w:tcPr>
            <w:tcW w:w="260" w:type="dxa"/>
            <w:vAlign w:val="bottom"/>
          </w:tcPr>
          <w:p>
            <w:pPr>
              <w:spacing w:after="0"/>
              <w:rPr>
                <w:sz w:val="10"/>
                <w:szCs w:val="10"/>
                <w:color w:val="auto"/>
              </w:rPr>
            </w:pPr>
          </w:p>
        </w:tc>
        <w:tc>
          <w:tcPr>
            <w:tcW w:w="1360" w:type="dxa"/>
            <w:vAlign w:val="bottom"/>
            <w:gridSpan w:val="2"/>
          </w:tcPr>
          <w:p>
            <w:pPr>
              <w:ind w:left="200"/>
              <w:spacing w:after="0"/>
              <w:rPr>
                <w:sz w:val="20"/>
                <w:szCs w:val="20"/>
                <w:color w:val="auto"/>
              </w:rPr>
            </w:pPr>
            <w:r>
              <w:rPr>
                <w:rFonts w:ascii="Arial" w:cs="Arial" w:eastAsia="Arial" w:hAnsi="Arial"/>
                <w:sz w:val="10"/>
                <w:szCs w:val="10"/>
                <w:b w:val="1"/>
                <w:bCs w:val="1"/>
                <w:color w:val="auto"/>
              </w:rPr>
              <w:t>December 31,</w:t>
            </w:r>
          </w:p>
        </w:tc>
        <w:tc>
          <w:tcPr>
            <w:tcW w:w="320" w:type="dxa"/>
            <w:vAlign w:val="bottom"/>
          </w:tcPr>
          <w:p>
            <w:pPr>
              <w:spacing w:after="0"/>
              <w:rPr>
                <w:sz w:val="10"/>
                <w:szCs w:val="10"/>
                <w:color w:val="auto"/>
              </w:rPr>
            </w:pPr>
          </w:p>
        </w:tc>
        <w:tc>
          <w:tcPr>
            <w:tcW w:w="1240" w:type="dxa"/>
            <w:vAlign w:val="bottom"/>
          </w:tcPr>
          <w:p>
            <w:pPr>
              <w:jc w:val="right"/>
              <w:ind w:right="512"/>
              <w:spacing w:after="0"/>
              <w:rPr>
                <w:sz w:val="20"/>
                <w:szCs w:val="20"/>
                <w:color w:val="auto"/>
              </w:rPr>
            </w:pPr>
            <w:r>
              <w:rPr>
                <w:rFonts w:ascii="Arial" w:cs="Arial" w:eastAsia="Arial" w:hAnsi="Arial"/>
                <w:sz w:val="10"/>
                <w:szCs w:val="10"/>
                <w:b w:val="1"/>
                <w:bCs w:val="1"/>
                <w:color w:val="auto"/>
              </w:rPr>
              <w:t>March 31,</w:t>
            </w:r>
          </w:p>
        </w:tc>
        <w:tc>
          <w:tcPr>
            <w:tcW w:w="0" w:type="dxa"/>
            <w:vAlign w:val="bottom"/>
          </w:tcPr>
          <w:p>
            <w:pPr>
              <w:spacing w:after="0"/>
              <w:rPr>
                <w:sz w:val="1"/>
                <w:szCs w:val="1"/>
                <w:color w:val="auto"/>
              </w:rPr>
            </w:pPr>
          </w:p>
        </w:tc>
      </w:tr>
      <w:tr>
        <w:trPr>
          <w:trHeight w:val="134"/>
        </w:trPr>
        <w:tc>
          <w:tcPr>
            <w:tcW w:w="6500" w:type="dxa"/>
            <w:vAlign w:val="bottom"/>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2025</w:t>
            </w: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43"/>
        </w:trPr>
        <w:tc>
          <w:tcPr>
            <w:tcW w:w="6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NONPERFORMING ASSETS</w:t>
            </w: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500" w:type="dxa"/>
            <w:vAlign w:val="bottom"/>
          </w:tcPr>
          <w:p>
            <w:pPr>
              <w:spacing w:after="0"/>
              <w:rPr>
                <w:sz w:val="20"/>
                <w:szCs w:val="20"/>
                <w:color w:val="auto"/>
              </w:rPr>
            </w:pPr>
            <w:r>
              <w:rPr>
                <w:rFonts w:ascii="Arial" w:cs="Arial" w:eastAsia="Arial" w:hAnsi="Arial"/>
                <w:sz w:val="10"/>
                <w:szCs w:val="10"/>
                <w:color w:val="auto"/>
              </w:rPr>
              <w:t>Nonaccrual</w:t>
            </w: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13,229</w:t>
            </w:r>
          </w:p>
        </w:tc>
        <w:tc>
          <w:tcPr>
            <w:tcW w:w="80" w:type="dxa"/>
            <w:vAlign w:val="bottom"/>
          </w:tcPr>
          <w:p>
            <w:pPr>
              <w:spacing w:after="0"/>
              <w:rPr>
                <w:sz w:val="11"/>
                <w:szCs w:val="11"/>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7,556</w:t>
            </w:r>
          </w:p>
        </w:tc>
        <w:tc>
          <w:tcPr>
            <w:tcW w:w="8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5,102</w:t>
            </w:r>
          </w:p>
        </w:tc>
        <w:tc>
          <w:tcPr>
            <w:tcW w:w="0" w:type="dxa"/>
            <w:vAlign w:val="bottom"/>
          </w:tcPr>
          <w:p>
            <w:pPr>
              <w:spacing w:after="0"/>
              <w:rPr>
                <w:sz w:val="1"/>
                <w:szCs w:val="1"/>
                <w:color w:val="auto"/>
              </w:rPr>
            </w:pPr>
          </w:p>
        </w:tc>
      </w:tr>
      <w:tr>
        <w:trPr>
          <w:trHeight w:val="138"/>
        </w:trPr>
        <w:tc>
          <w:tcPr>
            <w:tcW w:w="6500" w:type="dxa"/>
            <w:vAlign w:val="bottom"/>
            <w:shd w:val="clear" w:color="auto" w:fill="CCEEFF"/>
          </w:tcPr>
          <w:p>
            <w:pPr>
              <w:spacing w:after="0"/>
              <w:rPr>
                <w:sz w:val="20"/>
                <w:szCs w:val="20"/>
                <w:color w:val="auto"/>
              </w:rPr>
            </w:pPr>
            <w:r>
              <w:rPr>
                <w:rFonts w:ascii="Arial" w:cs="Arial" w:eastAsia="Arial" w:hAnsi="Arial"/>
                <w:sz w:val="10"/>
                <w:szCs w:val="10"/>
                <w:color w:val="auto"/>
              </w:rPr>
              <w:t>Past due 90 days or more, still accruing</w:t>
            </w:r>
          </w:p>
        </w:tc>
        <w:tc>
          <w:tcPr>
            <w:tcW w:w="3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23"/>
        </w:trPr>
        <w:tc>
          <w:tcPr>
            <w:tcW w:w="6500" w:type="dxa"/>
            <w:vAlign w:val="bottom"/>
          </w:tcPr>
          <w:p>
            <w:pPr>
              <w:spacing w:after="0"/>
              <w:rPr>
                <w:sz w:val="20"/>
                <w:szCs w:val="20"/>
                <w:color w:val="auto"/>
              </w:rPr>
            </w:pPr>
            <w:r>
              <w:rPr>
                <w:rFonts w:ascii="Arial" w:cs="Arial" w:eastAsia="Arial" w:hAnsi="Arial"/>
                <w:sz w:val="10"/>
                <w:szCs w:val="10"/>
                <w:b w:val="1"/>
                <w:bCs w:val="1"/>
                <w:color w:val="auto"/>
              </w:rPr>
              <w:t>Total nonperforming loans</w:t>
            </w:r>
          </w:p>
        </w:tc>
        <w:tc>
          <w:tcPr>
            <w:tcW w:w="32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13,229</w:t>
            </w:r>
          </w:p>
        </w:tc>
        <w:tc>
          <w:tcPr>
            <w:tcW w:w="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7,556</w:t>
            </w:r>
          </w:p>
        </w:tc>
        <w:tc>
          <w:tcPr>
            <w:tcW w:w="8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0"/>
                <w:szCs w:val="10"/>
                <w:color w:val="auto"/>
              </w:rPr>
              <w:t>5,106</w:t>
            </w:r>
          </w:p>
        </w:tc>
        <w:tc>
          <w:tcPr>
            <w:tcW w:w="0" w:type="dxa"/>
            <w:vAlign w:val="bottom"/>
          </w:tcPr>
          <w:p>
            <w:pPr>
              <w:spacing w:after="0"/>
              <w:rPr>
                <w:sz w:val="1"/>
                <w:szCs w:val="1"/>
                <w:color w:val="auto"/>
              </w:rPr>
            </w:pPr>
          </w:p>
        </w:tc>
      </w:tr>
      <w:tr>
        <w:trPr>
          <w:trHeight w:val="133"/>
        </w:trPr>
        <w:tc>
          <w:tcPr>
            <w:tcW w:w="6500" w:type="dxa"/>
            <w:vAlign w:val="bottom"/>
            <w:shd w:val="clear" w:color="auto" w:fill="CCEEFF"/>
          </w:tcPr>
          <w:p>
            <w:pPr>
              <w:spacing w:after="0"/>
              <w:rPr>
                <w:sz w:val="20"/>
                <w:szCs w:val="20"/>
                <w:color w:val="auto"/>
              </w:rPr>
            </w:pPr>
            <w:r>
              <w:rPr>
                <w:rFonts w:ascii="Arial" w:cs="Arial" w:eastAsia="Arial" w:hAnsi="Arial"/>
                <w:sz w:val="10"/>
                <w:szCs w:val="10"/>
                <w:color w:val="auto"/>
              </w:rPr>
              <w:t>Foreclosed assets</w:t>
            </w:r>
          </w:p>
        </w:tc>
        <w:tc>
          <w:tcPr>
            <w:tcW w:w="32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1,149</w:t>
            </w: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1,126</w:t>
            </w:r>
          </w:p>
        </w:tc>
        <w:tc>
          <w:tcPr>
            <w:tcW w:w="8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460</w:t>
            </w:r>
          </w:p>
        </w:tc>
        <w:tc>
          <w:tcPr>
            <w:tcW w:w="0" w:type="dxa"/>
            <w:vAlign w:val="bottom"/>
          </w:tcPr>
          <w:p>
            <w:pPr>
              <w:spacing w:after="0"/>
              <w:rPr>
                <w:sz w:val="1"/>
                <w:szCs w:val="1"/>
                <w:color w:val="auto"/>
              </w:rPr>
            </w:pPr>
          </w:p>
        </w:tc>
      </w:tr>
      <w:tr>
        <w:trPr>
          <w:trHeight w:val="143"/>
        </w:trPr>
        <w:tc>
          <w:tcPr>
            <w:tcW w:w="650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Total nonperforming assets</w:t>
            </w:r>
          </w:p>
        </w:tc>
        <w:tc>
          <w:tcPr>
            <w:tcW w:w="3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14,378</w:t>
            </w: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8,682</w:t>
            </w:r>
          </w:p>
        </w:tc>
        <w:tc>
          <w:tcPr>
            <w:tcW w:w="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rPr>
              <w:t>$</w:t>
            </w: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5,566</w:t>
            </w:r>
          </w:p>
        </w:tc>
        <w:tc>
          <w:tcPr>
            <w:tcW w:w="0" w:type="dxa"/>
            <w:vAlign w:val="bottom"/>
          </w:tcPr>
          <w:p>
            <w:pPr>
              <w:spacing w:after="0"/>
              <w:rPr>
                <w:sz w:val="1"/>
                <w:szCs w:val="1"/>
                <w:color w:val="auto"/>
              </w:rPr>
            </w:pPr>
          </w:p>
        </w:tc>
      </w:tr>
      <w:tr>
        <w:trPr>
          <w:trHeight w:val="126"/>
        </w:trPr>
        <w:tc>
          <w:tcPr>
            <w:tcW w:w="65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500" w:type="dxa"/>
            <w:vAlign w:val="bottom"/>
          </w:tcPr>
          <w:p>
            <w:pPr>
              <w:spacing w:after="0"/>
              <w:rPr>
                <w:sz w:val="20"/>
                <w:szCs w:val="20"/>
                <w:color w:val="auto"/>
              </w:rPr>
            </w:pPr>
            <w:r>
              <w:rPr>
                <w:rFonts w:ascii="Arial" w:cs="Arial" w:eastAsia="Arial" w:hAnsi="Arial"/>
                <w:sz w:val="10"/>
                <w:szCs w:val="10"/>
                <w:color w:val="auto"/>
              </w:rPr>
              <w:t>Nonperforming loans that are wholly or partially guaranteed by the U.S. Government</w:t>
            </w: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2,291</w:t>
            </w:r>
          </w:p>
        </w:tc>
        <w:tc>
          <w:tcPr>
            <w:tcW w:w="80" w:type="dxa"/>
            <w:vAlign w:val="bottom"/>
          </w:tcPr>
          <w:p>
            <w:pPr>
              <w:spacing w:after="0"/>
              <w:rPr>
                <w:sz w:val="11"/>
                <w:szCs w:val="11"/>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2,170</w:t>
            </w:r>
          </w:p>
        </w:tc>
        <w:tc>
          <w:tcPr>
            <w:tcW w:w="8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1,350</w:t>
            </w:r>
          </w:p>
        </w:tc>
        <w:tc>
          <w:tcPr>
            <w:tcW w:w="0" w:type="dxa"/>
            <w:vAlign w:val="bottom"/>
          </w:tcPr>
          <w:p>
            <w:pPr>
              <w:spacing w:after="0"/>
              <w:rPr>
                <w:sz w:val="1"/>
                <w:szCs w:val="1"/>
                <w:color w:val="auto"/>
              </w:rPr>
            </w:pPr>
          </w:p>
        </w:tc>
      </w:tr>
      <w:tr>
        <w:trPr>
          <w:trHeight w:val="147"/>
        </w:trPr>
        <w:tc>
          <w:tcPr>
            <w:tcW w:w="6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500" w:type="dxa"/>
            <w:vAlign w:val="bottom"/>
          </w:tcPr>
          <w:p>
            <w:pPr>
              <w:spacing w:after="0"/>
              <w:rPr>
                <w:sz w:val="20"/>
                <w:szCs w:val="20"/>
                <w:color w:val="auto"/>
              </w:rPr>
            </w:pPr>
            <w:r>
              <w:rPr>
                <w:rFonts w:ascii="Arial" w:cs="Arial" w:eastAsia="Arial" w:hAnsi="Arial"/>
                <w:sz w:val="10"/>
                <w:szCs w:val="10"/>
                <w:color w:val="auto"/>
              </w:rPr>
              <w:t>Allowance for credit losses</w:t>
            </w: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60,474</w:t>
            </w:r>
          </w:p>
        </w:tc>
        <w:tc>
          <w:tcPr>
            <w:tcW w:w="80" w:type="dxa"/>
            <w:vAlign w:val="bottom"/>
          </w:tcPr>
          <w:p>
            <w:pPr>
              <w:spacing w:after="0"/>
              <w:rPr>
                <w:sz w:val="11"/>
                <w:szCs w:val="11"/>
                <w:color w:val="auto"/>
              </w:rPr>
            </w:pPr>
          </w:p>
        </w:tc>
        <w:tc>
          <w:tcPr>
            <w:tcW w:w="260" w:type="dxa"/>
            <w:vAlign w:val="bottom"/>
          </w:tcPr>
          <w:p>
            <w:pPr>
              <w:jc w:val="right"/>
              <w:ind w:right="132"/>
              <w:spacing w:after="0"/>
              <w:rPr>
                <w:sz w:val="20"/>
                <w:szCs w:val="20"/>
                <w:color w:val="auto"/>
              </w:rPr>
            </w:pPr>
            <w:r>
              <w:rPr>
                <w:rFonts w:ascii="Arial" w:cs="Arial" w:eastAsia="Arial" w:hAnsi="Arial"/>
                <w:sz w:val="10"/>
                <w:szCs w:val="10"/>
                <w:color w:val="auto"/>
              </w:rPr>
              <w:t>$</w:t>
            </w: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41,690</w:t>
            </w:r>
          </w:p>
        </w:tc>
        <w:tc>
          <w:tcPr>
            <w:tcW w:w="8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42,111</w:t>
            </w:r>
          </w:p>
        </w:tc>
        <w:tc>
          <w:tcPr>
            <w:tcW w:w="0" w:type="dxa"/>
            <w:vAlign w:val="bottom"/>
          </w:tcPr>
          <w:p>
            <w:pPr>
              <w:spacing w:after="0"/>
              <w:rPr>
                <w:sz w:val="1"/>
                <w:szCs w:val="1"/>
                <w:color w:val="auto"/>
              </w:rPr>
            </w:pPr>
          </w:p>
        </w:tc>
      </w:tr>
      <w:tr>
        <w:trPr>
          <w:trHeight w:val="138"/>
        </w:trPr>
        <w:tc>
          <w:tcPr>
            <w:tcW w:w="6500" w:type="dxa"/>
            <w:vAlign w:val="bottom"/>
            <w:shd w:val="clear" w:color="auto" w:fill="CCEEFF"/>
          </w:tcPr>
          <w:p>
            <w:pPr>
              <w:spacing w:after="0"/>
              <w:rPr>
                <w:sz w:val="20"/>
                <w:szCs w:val="20"/>
                <w:color w:val="auto"/>
              </w:rPr>
            </w:pPr>
            <w:r>
              <w:rPr>
                <w:rFonts w:ascii="Arial" w:cs="Arial" w:eastAsia="Arial" w:hAnsi="Arial"/>
                <w:sz w:val="10"/>
                <w:szCs w:val="10"/>
                <w:color w:val="auto"/>
              </w:rPr>
              <w:t>Loans, before allowance for credit losses</w:t>
            </w: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4,686,951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3,456,209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3,461,778</w:t>
            </w:r>
          </w:p>
        </w:tc>
        <w:tc>
          <w:tcPr>
            <w:tcW w:w="0" w:type="dxa"/>
            <w:vAlign w:val="bottom"/>
          </w:tcPr>
          <w:p>
            <w:pPr>
              <w:spacing w:after="0"/>
              <w:rPr>
                <w:sz w:val="1"/>
                <w:szCs w:val="1"/>
                <w:color w:val="auto"/>
              </w:rPr>
            </w:pPr>
          </w:p>
        </w:tc>
      </w:tr>
      <w:tr>
        <w:trPr>
          <w:trHeight w:val="144"/>
        </w:trPr>
        <w:tc>
          <w:tcPr>
            <w:tcW w:w="6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50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CREDIT QUALITY RATIOS</w:t>
            </w:r>
          </w:p>
        </w:tc>
        <w:tc>
          <w:tcPr>
            <w:tcW w:w="3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500" w:type="dxa"/>
            <w:vAlign w:val="bottom"/>
          </w:tcPr>
          <w:p>
            <w:pPr>
              <w:spacing w:after="0"/>
              <w:rPr>
                <w:sz w:val="20"/>
                <w:szCs w:val="20"/>
                <w:color w:val="auto"/>
              </w:rPr>
            </w:pPr>
            <w:r>
              <w:rPr>
                <w:rFonts w:ascii="Arial" w:cs="Arial" w:eastAsia="Arial" w:hAnsi="Arial"/>
                <w:sz w:val="10"/>
                <w:szCs w:val="10"/>
                <w:color w:val="auto"/>
              </w:rPr>
              <w:t>Allowance for credit losses to loans, before allowance for credit losses</w:t>
            </w:r>
          </w:p>
        </w:tc>
        <w:tc>
          <w:tcPr>
            <w:tcW w:w="32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1.29 %</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0"/>
                <w:szCs w:val="10"/>
                <w:color w:val="auto"/>
              </w:rPr>
              <w:t>1.21 %</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1.22 %</w:t>
            </w:r>
          </w:p>
        </w:tc>
        <w:tc>
          <w:tcPr>
            <w:tcW w:w="0" w:type="dxa"/>
            <w:vAlign w:val="bottom"/>
          </w:tcPr>
          <w:p>
            <w:pPr>
              <w:spacing w:after="0"/>
              <w:rPr>
                <w:sz w:val="1"/>
                <w:szCs w:val="1"/>
                <w:color w:val="auto"/>
              </w:rPr>
            </w:pPr>
          </w:p>
        </w:tc>
      </w:tr>
      <w:tr>
        <w:trPr>
          <w:trHeight w:val="138"/>
        </w:trPr>
        <w:tc>
          <w:tcPr>
            <w:tcW w:w="6500" w:type="dxa"/>
            <w:vAlign w:val="bottom"/>
            <w:shd w:val="clear" w:color="auto" w:fill="CCEEFF"/>
          </w:tcPr>
          <w:p>
            <w:pPr>
              <w:spacing w:after="0"/>
              <w:rPr>
                <w:sz w:val="20"/>
                <w:szCs w:val="20"/>
                <w:color w:val="auto"/>
              </w:rPr>
            </w:pPr>
            <w:r>
              <w:rPr>
                <w:rFonts w:ascii="Arial" w:cs="Arial" w:eastAsia="Arial" w:hAnsi="Arial"/>
                <w:sz w:val="10"/>
                <w:szCs w:val="10"/>
                <w:color w:val="auto"/>
              </w:rPr>
              <w:t>Allowance for credit losses to nonaccrual loans</w:t>
            </w: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457.13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551.75</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825.38</w:t>
            </w:r>
          </w:p>
        </w:tc>
        <w:tc>
          <w:tcPr>
            <w:tcW w:w="0" w:type="dxa"/>
            <w:vAlign w:val="bottom"/>
          </w:tcPr>
          <w:p>
            <w:pPr>
              <w:spacing w:after="0"/>
              <w:rPr>
                <w:sz w:val="1"/>
                <w:szCs w:val="1"/>
                <w:color w:val="auto"/>
              </w:rPr>
            </w:pPr>
          </w:p>
        </w:tc>
      </w:tr>
      <w:tr>
        <w:trPr>
          <w:trHeight w:val="132"/>
        </w:trPr>
        <w:tc>
          <w:tcPr>
            <w:tcW w:w="6500" w:type="dxa"/>
            <w:vAlign w:val="bottom"/>
          </w:tcPr>
          <w:p>
            <w:pPr>
              <w:spacing w:after="0"/>
              <w:rPr>
                <w:sz w:val="20"/>
                <w:szCs w:val="20"/>
                <w:color w:val="auto"/>
              </w:rPr>
            </w:pPr>
            <w:r>
              <w:rPr>
                <w:rFonts w:ascii="Arial" w:cs="Arial" w:eastAsia="Arial" w:hAnsi="Arial"/>
                <w:sz w:val="10"/>
                <w:szCs w:val="10"/>
                <w:color w:val="auto"/>
              </w:rPr>
              <w:t>Allowance for credit losses to nonperforming loans</w:t>
            </w:r>
          </w:p>
        </w:tc>
        <w:tc>
          <w:tcPr>
            <w:tcW w:w="320" w:type="dxa"/>
            <w:vAlign w:val="bottom"/>
          </w:tcPr>
          <w:p>
            <w:pPr>
              <w:spacing w:after="0"/>
              <w:rPr>
                <w:sz w:val="11"/>
                <w:szCs w:val="11"/>
                <w:color w:val="auto"/>
              </w:rPr>
            </w:pP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457.13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551.75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824.74</w:t>
            </w:r>
          </w:p>
        </w:tc>
        <w:tc>
          <w:tcPr>
            <w:tcW w:w="0" w:type="dxa"/>
            <w:vAlign w:val="bottom"/>
          </w:tcPr>
          <w:p>
            <w:pPr>
              <w:spacing w:after="0"/>
              <w:rPr>
                <w:sz w:val="1"/>
                <w:szCs w:val="1"/>
                <w:color w:val="auto"/>
              </w:rPr>
            </w:pPr>
          </w:p>
        </w:tc>
      </w:tr>
      <w:tr>
        <w:trPr>
          <w:trHeight w:val="138"/>
        </w:trPr>
        <w:tc>
          <w:tcPr>
            <w:tcW w:w="6500" w:type="dxa"/>
            <w:vAlign w:val="bottom"/>
            <w:shd w:val="clear" w:color="auto" w:fill="CCEEFF"/>
          </w:tcPr>
          <w:p>
            <w:pPr>
              <w:spacing w:after="0"/>
              <w:rPr>
                <w:sz w:val="20"/>
                <w:szCs w:val="20"/>
                <w:color w:val="auto"/>
              </w:rPr>
            </w:pPr>
            <w:r>
              <w:rPr>
                <w:rFonts w:ascii="Arial" w:cs="Arial" w:eastAsia="Arial" w:hAnsi="Arial"/>
                <w:sz w:val="10"/>
                <w:szCs w:val="10"/>
                <w:color w:val="auto"/>
              </w:rPr>
              <w:t>Nonaccrual loans to loans, before allowance for credit losses</w:t>
            </w: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0.28</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0.22</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0.15</w:t>
            </w:r>
          </w:p>
        </w:tc>
        <w:tc>
          <w:tcPr>
            <w:tcW w:w="0" w:type="dxa"/>
            <w:vAlign w:val="bottom"/>
          </w:tcPr>
          <w:p>
            <w:pPr>
              <w:spacing w:after="0"/>
              <w:rPr>
                <w:sz w:val="1"/>
                <w:szCs w:val="1"/>
                <w:color w:val="auto"/>
              </w:rPr>
            </w:pPr>
          </w:p>
        </w:tc>
      </w:tr>
      <w:tr>
        <w:trPr>
          <w:trHeight w:val="132"/>
        </w:trPr>
        <w:tc>
          <w:tcPr>
            <w:tcW w:w="6500" w:type="dxa"/>
            <w:vAlign w:val="bottom"/>
          </w:tcPr>
          <w:p>
            <w:pPr>
              <w:spacing w:after="0"/>
              <w:rPr>
                <w:sz w:val="20"/>
                <w:szCs w:val="20"/>
                <w:color w:val="auto"/>
              </w:rPr>
            </w:pPr>
            <w:r>
              <w:rPr>
                <w:rFonts w:ascii="Arial" w:cs="Arial" w:eastAsia="Arial" w:hAnsi="Arial"/>
                <w:sz w:val="10"/>
                <w:szCs w:val="10"/>
                <w:color w:val="auto"/>
              </w:rPr>
              <w:t>Nonperforming loans to loans, before allowance for credit losses</w:t>
            </w:r>
          </w:p>
        </w:tc>
        <w:tc>
          <w:tcPr>
            <w:tcW w:w="320" w:type="dxa"/>
            <w:vAlign w:val="bottom"/>
          </w:tcPr>
          <w:p>
            <w:pPr>
              <w:spacing w:after="0"/>
              <w:rPr>
                <w:sz w:val="11"/>
                <w:szCs w:val="11"/>
                <w:color w:val="auto"/>
              </w:rPr>
            </w:pP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0.28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0.22</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0.15</w:t>
            </w:r>
          </w:p>
        </w:tc>
        <w:tc>
          <w:tcPr>
            <w:tcW w:w="0" w:type="dxa"/>
            <w:vAlign w:val="bottom"/>
          </w:tcPr>
          <w:p>
            <w:pPr>
              <w:spacing w:after="0"/>
              <w:rPr>
                <w:sz w:val="1"/>
                <w:szCs w:val="1"/>
                <w:color w:val="auto"/>
              </w:rPr>
            </w:pPr>
          </w:p>
        </w:tc>
      </w:tr>
      <w:tr>
        <w:trPr>
          <w:trHeight w:val="138"/>
        </w:trPr>
        <w:tc>
          <w:tcPr>
            <w:tcW w:w="6500" w:type="dxa"/>
            <w:vAlign w:val="bottom"/>
            <w:shd w:val="clear" w:color="auto" w:fill="CCEEFF"/>
          </w:tcPr>
          <w:p>
            <w:pPr>
              <w:spacing w:after="0"/>
              <w:rPr>
                <w:sz w:val="20"/>
                <w:szCs w:val="20"/>
                <w:color w:val="auto"/>
              </w:rPr>
            </w:pPr>
            <w:r>
              <w:rPr>
                <w:rFonts w:ascii="Arial" w:cs="Arial" w:eastAsia="Arial" w:hAnsi="Arial"/>
                <w:sz w:val="10"/>
                <w:szCs w:val="10"/>
                <w:color w:val="auto"/>
              </w:rPr>
              <w:t>Nonperforming assets to total assets</w:t>
            </w: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0.21</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0.17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0.11</w:t>
            </w:r>
          </w:p>
        </w:tc>
        <w:tc>
          <w:tcPr>
            <w:tcW w:w="0" w:type="dxa"/>
            <w:vAlign w:val="bottom"/>
          </w:tcPr>
          <w:p>
            <w:pPr>
              <w:spacing w:after="0"/>
              <w:rPr>
                <w:sz w:val="1"/>
                <w:szCs w:val="1"/>
                <w:color w:val="auto"/>
              </w:rPr>
            </w:pPr>
          </w:p>
        </w:tc>
      </w:tr>
      <w:tr>
        <w:trPr>
          <w:trHeight w:val="129"/>
        </w:trPr>
        <w:tc>
          <w:tcPr>
            <w:tcW w:w="6500" w:type="dxa"/>
            <w:vAlign w:val="bottom"/>
          </w:tcPr>
          <w:p>
            <w:pPr>
              <w:spacing w:after="0"/>
              <w:rPr>
                <w:sz w:val="20"/>
                <w:szCs w:val="20"/>
                <w:color w:val="auto"/>
              </w:rPr>
            </w:pPr>
            <w:r>
              <w:rPr>
                <w:rFonts w:ascii="Arial" w:cs="Arial" w:eastAsia="Arial" w:hAnsi="Arial"/>
                <w:sz w:val="10"/>
                <w:szCs w:val="10"/>
                <w:color w:val="auto"/>
              </w:rPr>
              <w:t>Nonperforming assets to loans, before allowance for credit losses, and foreclosed assets</w:t>
            </w:r>
          </w:p>
        </w:tc>
        <w:tc>
          <w:tcPr>
            <w:tcW w:w="320" w:type="dxa"/>
            <w:vAlign w:val="bottom"/>
          </w:tcPr>
          <w:p>
            <w:pPr>
              <w:spacing w:after="0"/>
              <w:rPr>
                <w:sz w:val="11"/>
                <w:szCs w:val="11"/>
                <w:color w:val="auto"/>
              </w:rPr>
            </w:pP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0.31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right"/>
              <w:ind w:right="72"/>
              <w:spacing w:after="0"/>
              <w:rPr>
                <w:sz w:val="20"/>
                <w:szCs w:val="20"/>
                <w:color w:val="auto"/>
              </w:rPr>
            </w:pPr>
            <w:r>
              <w:rPr>
                <w:rFonts w:ascii="Arial" w:cs="Arial" w:eastAsia="Arial" w:hAnsi="Arial"/>
                <w:sz w:val="10"/>
                <w:szCs w:val="10"/>
                <w:color w:val="auto"/>
              </w:rPr>
              <w:t>0.25</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0.16</w:t>
            </w:r>
          </w:p>
        </w:tc>
        <w:tc>
          <w:tcPr>
            <w:tcW w:w="0" w:type="dxa"/>
            <w:vAlign w:val="bottom"/>
          </w:tcPr>
          <w:p>
            <w:pPr>
              <w:spacing w:after="0"/>
              <w:rPr>
                <w:sz w:val="1"/>
                <w:szCs w:val="1"/>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40" w:type="dxa"/>
            <w:vAlign w:val="bottom"/>
          </w:tcPr>
          <w:p>
            <w:pPr>
              <w:spacing w:after="0"/>
              <w:rPr>
                <w:sz w:val="11"/>
                <w:szCs w:val="11"/>
                <w:color w:val="auto"/>
              </w:rPr>
            </w:pPr>
          </w:p>
        </w:tc>
        <w:tc>
          <w:tcPr>
            <w:tcW w:w="64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7"/>
              </w:rPr>
              <w:t>Three Months Ended</w:t>
            </w:r>
          </w:p>
        </w:tc>
        <w:tc>
          <w:tcPr>
            <w:tcW w:w="3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6500" w:type="dxa"/>
            <w:vAlign w:val="bottom"/>
            <w:gridSpan w:val="2"/>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320" w:type="dxa"/>
            <w:vAlign w:val="bottom"/>
          </w:tcPr>
          <w:p>
            <w:pPr>
              <w:spacing w:after="0"/>
              <w:rPr>
                <w:sz w:val="7"/>
                <w:szCs w:val="7"/>
                <w:color w:val="auto"/>
              </w:rPr>
            </w:pPr>
          </w:p>
        </w:tc>
        <w:tc>
          <w:tcPr>
            <w:tcW w:w="1300" w:type="dxa"/>
            <w:vAlign w:val="bottom"/>
            <w:gridSpan w:val="2"/>
          </w:tcPr>
          <w:p>
            <w:pPr>
              <w:ind w:left="240"/>
              <w:spacing w:after="0" w:line="92" w:lineRule="exact"/>
              <w:rPr>
                <w:sz w:val="20"/>
                <w:szCs w:val="20"/>
                <w:color w:val="auto"/>
              </w:rPr>
            </w:pPr>
            <w:r>
              <w:rPr>
                <w:rFonts w:ascii="Arial" w:cs="Arial" w:eastAsia="Arial" w:hAnsi="Arial"/>
                <w:sz w:val="10"/>
                <w:szCs w:val="10"/>
                <w:b w:val="1"/>
                <w:bCs w:val="1"/>
                <w:color w:val="auto"/>
              </w:rPr>
              <w:t>March 31,</w:t>
            </w:r>
          </w:p>
        </w:tc>
        <w:tc>
          <w:tcPr>
            <w:tcW w:w="200" w:type="dxa"/>
            <w:vAlign w:val="bottom"/>
          </w:tcPr>
          <w:p>
            <w:pPr>
              <w:spacing w:after="0"/>
              <w:rPr>
                <w:sz w:val="7"/>
                <w:szCs w:val="7"/>
                <w:color w:val="auto"/>
              </w:rPr>
            </w:pPr>
          </w:p>
        </w:tc>
        <w:tc>
          <w:tcPr>
            <w:tcW w:w="1420" w:type="dxa"/>
            <w:vAlign w:val="bottom"/>
            <w:gridSpan w:val="2"/>
          </w:tcPr>
          <w:p>
            <w:pPr>
              <w:jc w:val="center"/>
              <w:ind w:right="280"/>
              <w:spacing w:after="0" w:line="92" w:lineRule="exact"/>
              <w:rPr>
                <w:sz w:val="20"/>
                <w:szCs w:val="20"/>
                <w:color w:val="auto"/>
              </w:rPr>
            </w:pPr>
            <w:r>
              <w:rPr>
                <w:rFonts w:ascii="Arial" w:cs="Arial" w:eastAsia="Arial" w:hAnsi="Arial"/>
                <w:sz w:val="10"/>
                <w:szCs w:val="10"/>
                <w:b w:val="1"/>
                <w:bCs w:val="1"/>
                <w:color w:val="auto"/>
                <w:w w:val="95"/>
              </w:rPr>
              <w:t>December 31,</w:t>
            </w:r>
          </w:p>
        </w:tc>
        <w:tc>
          <w:tcPr>
            <w:tcW w:w="320" w:type="dxa"/>
            <w:vAlign w:val="bottom"/>
          </w:tcPr>
          <w:p>
            <w:pPr>
              <w:spacing w:after="0"/>
              <w:rPr>
                <w:sz w:val="7"/>
                <w:szCs w:val="7"/>
                <w:color w:val="auto"/>
              </w:rPr>
            </w:pPr>
          </w:p>
        </w:tc>
        <w:tc>
          <w:tcPr>
            <w:tcW w:w="1240" w:type="dxa"/>
            <w:vAlign w:val="bottom"/>
          </w:tcPr>
          <w:p>
            <w:pPr>
              <w:jc w:val="right"/>
              <w:ind w:right="512"/>
              <w:spacing w:after="0" w:line="92" w:lineRule="exact"/>
              <w:rPr>
                <w:sz w:val="20"/>
                <w:szCs w:val="20"/>
                <w:color w:val="auto"/>
              </w:rPr>
            </w:pPr>
            <w:r>
              <w:rPr>
                <w:rFonts w:ascii="Arial" w:cs="Arial" w:eastAsia="Arial" w:hAnsi="Arial"/>
                <w:sz w:val="10"/>
                <w:szCs w:val="10"/>
                <w:b w:val="1"/>
                <w:bCs w:val="1"/>
                <w:color w:val="auto"/>
              </w:rPr>
              <w:t>March 31,</w:t>
            </w:r>
          </w:p>
        </w:tc>
        <w:tc>
          <w:tcPr>
            <w:tcW w:w="0" w:type="dxa"/>
            <w:vAlign w:val="bottom"/>
          </w:tcPr>
          <w:p>
            <w:pPr>
              <w:spacing w:after="0"/>
              <w:rPr>
                <w:sz w:val="1"/>
                <w:szCs w:val="1"/>
                <w:color w:val="auto"/>
              </w:rPr>
            </w:pPr>
          </w:p>
        </w:tc>
      </w:tr>
      <w:tr>
        <w:trPr>
          <w:trHeight w:val="132"/>
        </w:trPr>
        <w:tc>
          <w:tcPr>
            <w:tcW w:w="6500" w:type="dxa"/>
            <w:vAlign w:val="bottom"/>
            <w:gridSpan w:val="2"/>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center"/>
              <w:ind w:right="132"/>
              <w:spacing w:after="0"/>
              <w:rPr>
                <w:sz w:val="20"/>
                <w:szCs w:val="20"/>
                <w:color w:val="auto"/>
              </w:rPr>
            </w:pPr>
            <w:r>
              <w:rPr>
                <w:rFonts w:ascii="Arial" w:cs="Arial" w:eastAsia="Arial" w:hAnsi="Arial"/>
                <w:sz w:val="10"/>
                <w:szCs w:val="10"/>
                <w:b w:val="1"/>
                <w:bCs w:val="1"/>
                <w:color w:val="auto"/>
                <w:w w:val="89"/>
              </w:rPr>
              <w:t>2025</w:t>
            </w: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43"/>
        </w:trPr>
        <w:tc>
          <w:tcPr>
            <w:tcW w:w="650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ALLOWANCE FOR CREDIT LOSSES</w:t>
            </w: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500" w:type="dxa"/>
            <w:vAlign w:val="bottom"/>
            <w:gridSpan w:val="2"/>
          </w:tcPr>
          <w:p>
            <w:pPr>
              <w:spacing w:after="0"/>
              <w:rPr>
                <w:sz w:val="20"/>
                <w:szCs w:val="20"/>
                <w:color w:val="auto"/>
              </w:rPr>
            </w:pPr>
            <w:r>
              <w:rPr>
                <w:rFonts w:ascii="Arial" w:cs="Arial" w:eastAsia="Arial" w:hAnsi="Arial"/>
                <w:sz w:val="10"/>
                <w:szCs w:val="10"/>
                <w:color w:val="auto"/>
              </w:rPr>
              <w:t>Beginning balance</w:t>
            </w: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41,690</w:t>
            </w:r>
          </w:p>
        </w:tc>
        <w:tc>
          <w:tcPr>
            <w:tcW w:w="80" w:type="dxa"/>
            <w:vAlign w:val="bottom"/>
          </w:tcPr>
          <w:p>
            <w:pPr>
              <w:spacing w:after="0"/>
              <w:rPr>
                <w:sz w:val="11"/>
                <w:szCs w:val="11"/>
                <w:color w:val="auto"/>
              </w:rPr>
            </w:pPr>
          </w:p>
        </w:tc>
        <w:tc>
          <w:tcPr>
            <w:tcW w:w="20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41,900</w:t>
            </w:r>
          </w:p>
        </w:tc>
        <w:tc>
          <w:tcPr>
            <w:tcW w:w="80" w:type="dxa"/>
            <w:vAlign w:val="bottom"/>
          </w:tcPr>
          <w:p>
            <w:pPr>
              <w:spacing w:after="0"/>
              <w:rPr>
                <w:sz w:val="11"/>
                <w:szCs w:val="11"/>
                <w:color w:val="auto"/>
              </w:rPr>
            </w:pPr>
          </w:p>
        </w:tc>
        <w:tc>
          <w:tcPr>
            <w:tcW w:w="320" w:type="dxa"/>
            <w:vAlign w:val="bottom"/>
          </w:tcPr>
          <w:p>
            <w:pPr>
              <w:jc w:val="right"/>
              <w:ind w:right="192"/>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42,044</w:t>
            </w:r>
          </w:p>
        </w:tc>
        <w:tc>
          <w:tcPr>
            <w:tcW w:w="0" w:type="dxa"/>
            <w:vAlign w:val="bottom"/>
          </w:tcPr>
          <w:p>
            <w:pPr>
              <w:spacing w:after="0"/>
              <w:rPr>
                <w:sz w:val="1"/>
                <w:szCs w:val="1"/>
                <w:color w:val="auto"/>
              </w:rPr>
            </w:pPr>
          </w:p>
        </w:tc>
      </w:tr>
      <w:tr>
        <w:trPr>
          <w:trHeight w:val="138"/>
        </w:trPr>
        <w:tc>
          <w:tcPr>
            <w:tcW w:w="65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Allowance established in acquisition</w:t>
            </w: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19,957</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6500" w:type="dxa"/>
            <w:vAlign w:val="bottom"/>
            <w:gridSpan w:val="2"/>
          </w:tcPr>
          <w:p>
            <w:pPr>
              <w:spacing w:after="0"/>
              <w:rPr>
                <w:sz w:val="20"/>
                <w:szCs w:val="20"/>
                <w:color w:val="auto"/>
              </w:rPr>
            </w:pPr>
            <w:r>
              <w:rPr>
                <w:rFonts w:ascii="Arial" w:cs="Arial" w:eastAsia="Arial" w:hAnsi="Arial"/>
                <w:sz w:val="10"/>
                <w:szCs w:val="10"/>
                <w:color w:val="auto"/>
              </w:rPr>
              <w:t>Provision for credit losses</w:t>
            </w:r>
          </w:p>
        </w:tc>
        <w:tc>
          <w:tcPr>
            <w:tcW w:w="320" w:type="dxa"/>
            <w:vAlign w:val="bottom"/>
          </w:tcPr>
          <w:p>
            <w:pPr>
              <w:spacing w:after="0"/>
              <w:rPr>
                <w:sz w:val="11"/>
                <w:szCs w:val="11"/>
                <w:color w:val="auto"/>
              </w:rPr>
            </w:pPr>
          </w:p>
        </w:tc>
        <w:tc>
          <w:tcPr>
            <w:tcW w:w="1220" w:type="dxa"/>
            <w:vAlign w:val="bottom"/>
          </w:tcPr>
          <w:p>
            <w:pPr>
              <w:jc w:val="right"/>
              <w:ind w:right="52"/>
              <w:spacing w:after="0"/>
              <w:rPr>
                <w:sz w:val="20"/>
                <w:szCs w:val="20"/>
                <w:color w:val="auto"/>
              </w:rPr>
            </w:pPr>
            <w:r>
              <w:rPr>
                <w:rFonts w:ascii="Arial" w:cs="Arial" w:eastAsia="Arial" w:hAnsi="Arial"/>
                <w:sz w:val="10"/>
                <w:szCs w:val="10"/>
                <w:color w:val="auto"/>
              </w:rPr>
              <w:t>(415)</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638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496</w:t>
            </w:r>
          </w:p>
        </w:tc>
        <w:tc>
          <w:tcPr>
            <w:tcW w:w="0" w:type="dxa"/>
            <w:vAlign w:val="bottom"/>
          </w:tcPr>
          <w:p>
            <w:pPr>
              <w:spacing w:after="0"/>
              <w:rPr>
                <w:sz w:val="1"/>
                <w:szCs w:val="1"/>
                <w:color w:val="auto"/>
              </w:rPr>
            </w:pPr>
          </w:p>
        </w:tc>
      </w:tr>
      <w:tr>
        <w:trPr>
          <w:trHeight w:val="138"/>
        </w:trPr>
        <w:tc>
          <w:tcPr>
            <w:tcW w:w="65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Charge-offs</w:t>
            </w: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(1,001)</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(1,221)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(665)</w:t>
            </w:r>
          </w:p>
        </w:tc>
        <w:tc>
          <w:tcPr>
            <w:tcW w:w="0" w:type="dxa"/>
            <w:vAlign w:val="bottom"/>
          </w:tcPr>
          <w:p>
            <w:pPr>
              <w:spacing w:after="0"/>
              <w:rPr>
                <w:sz w:val="1"/>
                <w:szCs w:val="1"/>
                <w:color w:val="auto"/>
              </w:rPr>
            </w:pPr>
          </w:p>
        </w:tc>
      </w:tr>
      <w:tr>
        <w:trPr>
          <w:trHeight w:val="132"/>
        </w:trPr>
        <w:tc>
          <w:tcPr>
            <w:tcW w:w="650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Recoveries</w:t>
            </w: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243</w:t>
            </w:r>
          </w:p>
        </w:tc>
        <w:tc>
          <w:tcPr>
            <w:tcW w:w="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373</w:t>
            </w:r>
          </w:p>
        </w:tc>
        <w:tc>
          <w:tcPr>
            <w:tcW w:w="8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236</w:t>
            </w:r>
          </w:p>
        </w:tc>
        <w:tc>
          <w:tcPr>
            <w:tcW w:w="0" w:type="dxa"/>
            <w:vAlign w:val="bottom"/>
          </w:tcPr>
          <w:p>
            <w:pPr>
              <w:spacing w:after="0"/>
              <w:rPr>
                <w:sz w:val="1"/>
                <w:szCs w:val="1"/>
                <w:color w:val="auto"/>
              </w:rPr>
            </w:pPr>
          </w:p>
        </w:tc>
      </w:tr>
      <w:tr>
        <w:trPr>
          <w:trHeight w:val="143"/>
        </w:trPr>
        <w:tc>
          <w:tcPr>
            <w:tcW w:w="40" w:type="dxa"/>
            <w:vAlign w:val="bottom"/>
            <w:tcBorders>
              <w:bottom w:val="single" w:sz="8" w:color="CCEEFF"/>
            </w:tcBorders>
            <w:shd w:val="clear" w:color="auto" w:fill="CCEEFF"/>
          </w:tcPr>
          <w:p>
            <w:pPr>
              <w:spacing w:after="0"/>
              <w:rPr>
                <w:sz w:val="12"/>
                <w:szCs w:val="12"/>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Ending balance</w:t>
            </w:r>
          </w:p>
        </w:tc>
        <w:tc>
          <w:tcPr>
            <w:tcW w:w="3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60,474</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41,690</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42,111</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50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Net charge-offs</w:t>
            </w:r>
          </w:p>
        </w:tc>
        <w:tc>
          <w:tcPr>
            <w:tcW w:w="32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758</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848</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429</w:t>
            </w:r>
          </w:p>
        </w:tc>
        <w:tc>
          <w:tcPr>
            <w:tcW w:w="0" w:type="dxa"/>
            <w:vAlign w:val="bottom"/>
          </w:tcPr>
          <w:p>
            <w:pPr>
              <w:spacing w:after="0"/>
              <w:rPr>
                <w:sz w:val="1"/>
                <w:szCs w:val="1"/>
                <w:color w:val="auto"/>
              </w:rPr>
            </w:pPr>
          </w:p>
        </w:tc>
      </w:tr>
      <w:tr>
        <w:trPr>
          <w:trHeight w:val="132"/>
        </w:trPr>
        <w:tc>
          <w:tcPr>
            <w:tcW w:w="6500" w:type="dxa"/>
            <w:vAlign w:val="bottom"/>
            <w:gridSpan w:val="2"/>
          </w:tcPr>
          <w:p>
            <w:pPr>
              <w:spacing w:after="0"/>
              <w:rPr>
                <w:sz w:val="20"/>
                <w:szCs w:val="20"/>
                <w:color w:val="auto"/>
              </w:rPr>
            </w:pPr>
            <w:r>
              <w:rPr>
                <w:rFonts w:ascii="Arial" w:cs="Arial" w:eastAsia="Arial" w:hAnsi="Arial"/>
                <w:sz w:val="10"/>
                <w:szCs w:val="10"/>
                <w:color w:val="auto"/>
              </w:rPr>
              <w:t>Average loans</w:t>
            </w:r>
          </w:p>
        </w:tc>
        <w:tc>
          <w:tcPr>
            <w:tcW w:w="320" w:type="dxa"/>
            <w:vAlign w:val="bottom"/>
          </w:tcPr>
          <w:p>
            <w:pPr>
              <w:spacing w:after="0"/>
              <w:rPr>
                <w:sz w:val="11"/>
                <w:szCs w:val="11"/>
                <w:color w:val="auto"/>
              </w:rPr>
            </w:pP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3,890,388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3,432,308</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3,460,906</w:t>
            </w:r>
          </w:p>
        </w:tc>
        <w:tc>
          <w:tcPr>
            <w:tcW w:w="0" w:type="dxa"/>
            <w:vAlign w:val="bottom"/>
          </w:tcPr>
          <w:p>
            <w:pPr>
              <w:spacing w:after="0"/>
              <w:rPr>
                <w:sz w:val="1"/>
                <w:szCs w:val="1"/>
                <w:color w:val="auto"/>
              </w:rPr>
            </w:pPr>
          </w:p>
        </w:tc>
      </w:tr>
      <w:tr>
        <w:trPr>
          <w:trHeight w:val="147"/>
        </w:trPr>
        <w:tc>
          <w:tcPr>
            <w:tcW w:w="6500" w:type="dxa"/>
            <w:vAlign w:val="bottom"/>
            <w:gridSpan w:val="2"/>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500" w:type="dxa"/>
            <w:vAlign w:val="bottom"/>
            <w:gridSpan w:val="2"/>
          </w:tcPr>
          <w:p>
            <w:pPr>
              <w:spacing w:after="0"/>
              <w:rPr>
                <w:sz w:val="20"/>
                <w:szCs w:val="20"/>
                <w:color w:val="auto"/>
              </w:rPr>
            </w:pPr>
            <w:r>
              <w:rPr>
                <w:rFonts w:ascii="Arial" w:cs="Arial" w:eastAsia="Arial" w:hAnsi="Arial"/>
                <w:sz w:val="10"/>
                <w:szCs w:val="10"/>
                <w:color w:val="auto"/>
              </w:rPr>
              <w:t>Net charge-offs to average loans *</w:t>
            </w:r>
          </w:p>
        </w:tc>
        <w:tc>
          <w:tcPr>
            <w:tcW w:w="32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0.08 %</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0.10 %</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0.05 %</w:t>
            </w:r>
          </w:p>
        </w:tc>
        <w:tc>
          <w:tcPr>
            <w:tcW w:w="0" w:type="dxa"/>
            <w:vAlign w:val="bottom"/>
          </w:tcPr>
          <w:p>
            <w:pPr>
              <w:spacing w:after="0"/>
              <w:rPr>
                <w:sz w:val="1"/>
                <w:szCs w:val="1"/>
                <w:color w:val="auto"/>
              </w:rPr>
            </w:pPr>
          </w:p>
        </w:tc>
      </w:tr>
      <w:tr>
        <w:trPr>
          <w:trHeight w:val="181"/>
        </w:trPr>
        <w:tc>
          <w:tcPr>
            <w:tcW w:w="6500" w:type="dxa"/>
            <w:vAlign w:val="bottom"/>
            <w:gridSpan w:val="2"/>
          </w:tcPr>
          <w:p>
            <w:pPr>
              <w:spacing w:after="0"/>
              <w:rPr>
                <w:sz w:val="20"/>
                <w:szCs w:val="20"/>
                <w:color w:val="auto"/>
              </w:rPr>
            </w:pPr>
            <w:r>
              <w:rPr>
                <w:rFonts w:ascii="Arial" w:cs="Arial" w:eastAsia="Arial" w:hAnsi="Arial"/>
                <w:sz w:val="10"/>
                <w:szCs w:val="10"/>
                <w:color w:val="auto"/>
              </w:rPr>
              <w:t>____________________________________</w:t>
            </w: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 w:type="dxa"/>
            <w:vAlign w:val="bottom"/>
          </w:tcPr>
          <w:p>
            <w:pPr>
              <w:spacing w:after="0"/>
              <w:rPr>
                <w:sz w:val="20"/>
                <w:szCs w:val="20"/>
                <w:color w:val="auto"/>
              </w:rPr>
            </w:pPr>
            <w:r>
              <w:rPr>
                <w:rFonts w:ascii="Arial" w:cs="Arial" w:eastAsia="Arial" w:hAnsi="Arial"/>
                <w:sz w:val="7"/>
                <w:szCs w:val="7"/>
                <w:color w:val="auto"/>
                <w:w w:val="71"/>
              </w:rPr>
              <w:t>*</w:t>
            </w:r>
          </w:p>
        </w:tc>
        <w:tc>
          <w:tcPr>
            <w:tcW w:w="6460" w:type="dxa"/>
            <w:vAlign w:val="bottom"/>
          </w:tcPr>
          <w:p>
            <w:pPr>
              <w:ind w:left="160"/>
              <w:spacing w:after="0"/>
              <w:rPr>
                <w:sz w:val="20"/>
                <w:szCs w:val="20"/>
                <w:color w:val="auto"/>
              </w:rPr>
            </w:pPr>
            <w:r>
              <w:rPr>
                <w:rFonts w:ascii="Arial" w:cs="Arial" w:eastAsia="Arial" w:hAnsi="Arial"/>
                <w:sz w:val="10"/>
                <w:szCs w:val="10"/>
                <w:color w:val="auto"/>
              </w:rPr>
              <w:t>Annualized measure.</w:t>
            </w:r>
          </w:p>
        </w:tc>
        <w:tc>
          <w:tcPr>
            <w:tcW w:w="3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6680" w:type="dxa"/>
            <w:vAlign w:val="bottom"/>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4"/>
              </w:rPr>
              <w:t>Three Months Ended</w:t>
            </w:r>
          </w:p>
        </w:tc>
        <w:tc>
          <w:tcPr>
            <w:tcW w:w="2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668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1100" w:type="dxa"/>
            <w:vAlign w:val="bottom"/>
          </w:tcPr>
          <w:p>
            <w:pPr>
              <w:jc w:val="right"/>
              <w:ind w:right="92"/>
              <w:spacing w:after="0" w:line="89" w:lineRule="exact"/>
              <w:rPr>
                <w:sz w:val="20"/>
                <w:szCs w:val="20"/>
                <w:color w:val="auto"/>
              </w:rPr>
            </w:pPr>
            <w:r>
              <w:rPr>
                <w:rFonts w:ascii="Arial" w:cs="Arial" w:eastAsia="Arial" w:hAnsi="Arial"/>
                <w:sz w:val="10"/>
                <w:szCs w:val="10"/>
                <w:b w:val="1"/>
                <w:bCs w:val="1"/>
                <w:color w:val="auto"/>
              </w:rPr>
              <w:t>March 31,</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0" w:type="dxa"/>
            <w:vAlign w:val="bottom"/>
            <w:gridSpan w:val="2"/>
          </w:tcPr>
          <w:p>
            <w:pPr>
              <w:jc w:val="center"/>
              <w:ind w:right="260"/>
              <w:spacing w:after="0" w:line="89" w:lineRule="exact"/>
              <w:rPr>
                <w:sz w:val="20"/>
                <w:szCs w:val="20"/>
                <w:color w:val="auto"/>
              </w:rPr>
            </w:pPr>
            <w:r>
              <w:rPr>
                <w:rFonts w:ascii="Arial" w:cs="Arial" w:eastAsia="Arial" w:hAnsi="Arial"/>
                <w:sz w:val="10"/>
                <w:szCs w:val="10"/>
                <w:b w:val="1"/>
                <w:bCs w:val="1"/>
                <w:color w:val="auto"/>
                <w:w w:val="95"/>
              </w:rPr>
              <w:t>December 31,</w:t>
            </w:r>
          </w:p>
        </w:tc>
        <w:tc>
          <w:tcPr>
            <w:tcW w:w="280" w:type="dxa"/>
            <w:vAlign w:val="bottom"/>
          </w:tcPr>
          <w:p>
            <w:pPr>
              <w:spacing w:after="0"/>
              <w:rPr>
                <w:sz w:val="7"/>
                <w:szCs w:val="7"/>
                <w:color w:val="auto"/>
              </w:rPr>
            </w:pPr>
          </w:p>
        </w:tc>
        <w:tc>
          <w:tcPr>
            <w:tcW w:w="1200" w:type="dxa"/>
            <w:vAlign w:val="bottom"/>
          </w:tcPr>
          <w:p>
            <w:pPr>
              <w:jc w:val="right"/>
              <w:ind w:right="472"/>
              <w:spacing w:after="0" w:line="89" w:lineRule="exact"/>
              <w:rPr>
                <w:sz w:val="20"/>
                <w:szCs w:val="20"/>
                <w:color w:val="auto"/>
              </w:rPr>
            </w:pPr>
            <w:r>
              <w:rPr>
                <w:rFonts w:ascii="Arial" w:cs="Arial" w:eastAsia="Arial" w:hAnsi="Arial"/>
                <w:sz w:val="10"/>
                <w:szCs w:val="10"/>
                <w:b w:val="1"/>
                <w:bCs w:val="1"/>
                <w:color w:val="auto"/>
              </w:rPr>
              <w:t>March 31,</w:t>
            </w:r>
          </w:p>
        </w:tc>
        <w:tc>
          <w:tcPr>
            <w:tcW w:w="0" w:type="dxa"/>
            <w:vAlign w:val="bottom"/>
          </w:tcPr>
          <w:p>
            <w:pPr>
              <w:spacing w:after="0"/>
              <w:rPr>
                <w:sz w:val="1"/>
                <w:szCs w:val="1"/>
                <w:color w:val="auto"/>
              </w:rPr>
            </w:pPr>
          </w:p>
        </w:tc>
      </w:tr>
      <w:tr>
        <w:trPr>
          <w:trHeight w:val="134"/>
        </w:trPr>
        <w:tc>
          <w:tcPr>
            <w:tcW w:w="6680" w:type="dxa"/>
            <w:vAlign w:val="bottom"/>
            <w:vMerge w:val="continue"/>
          </w:tcPr>
          <w:p>
            <w:pPr>
              <w:spacing w:after="0"/>
              <w:rPr>
                <w:sz w:val="11"/>
                <w:szCs w:val="11"/>
                <w:color w:val="auto"/>
              </w:rPr>
            </w:pPr>
          </w:p>
        </w:tc>
        <w:tc>
          <w:tcPr>
            <w:tcW w:w="110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rPr>
              <w:t>2026</w:t>
            </w:r>
          </w:p>
        </w:tc>
        <w:tc>
          <w:tcPr>
            <w:tcW w:w="3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center"/>
              <w:ind w:right="112"/>
              <w:spacing w:after="0"/>
              <w:rPr>
                <w:sz w:val="20"/>
                <w:szCs w:val="20"/>
                <w:color w:val="auto"/>
              </w:rPr>
            </w:pPr>
            <w:r>
              <w:rPr>
                <w:rFonts w:ascii="Arial" w:cs="Arial" w:eastAsia="Arial" w:hAnsi="Arial"/>
                <w:sz w:val="10"/>
                <w:szCs w:val="10"/>
                <w:b w:val="1"/>
                <w:bCs w:val="1"/>
                <w:color w:val="auto"/>
                <w:w w:val="98"/>
              </w:rPr>
              <w:t>2025</w:t>
            </w: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43"/>
        </w:trPr>
        <w:tc>
          <w:tcPr>
            <w:tcW w:w="66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PROVISION FOR CREDIT LOSSES</w:t>
            </w:r>
          </w:p>
        </w:tc>
        <w:tc>
          <w:tcPr>
            <w:tcW w:w="1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680" w:type="dxa"/>
            <w:vAlign w:val="bottom"/>
          </w:tcPr>
          <w:p>
            <w:pPr>
              <w:spacing w:after="0"/>
              <w:rPr>
                <w:sz w:val="20"/>
                <w:szCs w:val="20"/>
                <w:color w:val="auto"/>
              </w:rPr>
            </w:pPr>
            <w:r>
              <w:rPr>
                <w:rFonts w:ascii="Arial" w:cs="Arial" w:eastAsia="Arial" w:hAnsi="Arial"/>
                <w:sz w:val="10"/>
                <w:szCs w:val="10"/>
                <w:color w:val="auto"/>
              </w:rPr>
              <w:t>Loans</w:t>
            </w:r>
          </w:p>
        </w:tc>
        <w:tc>
          <w:tcPr>
            <w:tcW w:w="1100" w:type="dxa"/>
            <w:vAlign w:val="bottom"/>
          </w:tcPr>
          <w:p>
            <w:pPr>
              <w:jc w:val="right"/>
              <w:ind w:right="992"/>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0"/>
                <w:szCs w:val="10"/>
                <w:color w:val="auto"/>
              </w:rPr>
              <w:t>(415)</w:t>
            </w:r>
          </w:p>
        </w:tc>
        <w:tc>
          <w:tcPr>
            <w:tcW w:w="80" w:type="dxa"/>
            <w:vAlign w:val="bottom"/>
          </w:tcPr>
          <w:p>
            <w:pPr>
              <w:spacing w:after="0"/>
              <w:rPr>
                <w:sz w:val="11"/>
                <w:szCs w:val="11"/>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300" w:type="dxa"/>
            <w:vAlign w:val="bottom"/>
          </w:tcPr>
          <w:p>
            <w:pPr>
              <w:jc w:val="right"/>
              <w:spacing w:after="0"/>
              <w:rPr>
                <w:sz w:val="20"/>
                <w:szCs w:val="20"/>
                <w:color w:val="auto"/>
              </w:rPr>
            </w:pPr>
            <w:r>
              <w:rPr>
                <w:rFonts w:ascii="Arial" w:cs="Arial" w:eastAsia="Arial" w:hAnsi="Arial"/>
                <w:sz w:val="10"/>
                <w:szCs w:val="10"/>
                <w:color w:val="auto"/>
              </w:rPr>
              <w:t>638</w:t>
            </w:r>
          </w:p>
        </w:tc>
        <w:tc>
          <w:tcPr>
            <w:tcW w:w="100" w:type="dxa"/>
            <w:vAlign w:val="bottom"/>
          </w:tcPr>
          <w:p>
            <w:pPr>
              <w:spacing w:after="0"/>
              <w:rPr>
                <w:sz w:val="11"/>
                <w:szCs w:val="11"/>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496</w:t>
            </w:r>
          </w:p>
        </w:tc>
        <w:tc>
          <w:tcPr>
            <w:tcW w:w="0" w:type="dxa"/>
            <w:vAlign w:val="bottom"/>
          </w:tcPr>
          <w:p>
            <w:pPr>
              <w:spacing w:after="0"/>
              <w:rPr>
                <w:sz w:val="1"/>
                <w:szCs w:val="1"/>
                <w:color w:val="auto"/>
              </w:rPr>
            </w:pPr>
          </w:p>
        </w:tc>
      </w:tr>
      <w:tr>
        <w:trPr>
          <w:trHeight w:val="135"/>
        </w:trPr>
        <w:tc>
          <w:tcPr>
            <w:tcW w:w="6680" w:type="dxa"/>
            <w:vAlign w:val="bottom"/>
            <w:shd w:val="clear" w:color="auto" w:fill="CCEEFF"/>
          </w:tcPr>
          <w:p>
            <w:pPr>
              <w:spacing w:after="0"/>
              <w:rPr>
                <w:sz w:val="20"/>
                <w:szCs w:val="20"/>
                <w:color w:val="auto"/>
              </w:rPr>
            </w:pPr>
            <w:r>
              <w:rPr>
                <w:rFonts w:ascii="Arial" w:cs="Arial" w:eastAsia="Arial" w:hAnsi="Arial"/>
                <w:sz w:val="10"/>
                <w:szCs w:val="10"/>
                <w:color w:val="auto"/>
              </w:rPr>
              <w:t>Unfunded lending-related commitments</w:t>
            </w:r>
          </w:p>
        </w:tc>
        <w:tc>
          <w:tcPr>
            <w:tcW w:w="1100" w:type="dxa"/>
            <w:vAlign w:val="bottom"/>
            <w:tcBorders>
              <w:bottom w:val="single" w:sz="8" w:color="auto"/>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259</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825</w:t>
            </w:r>
          </w:p>
        </w:tc>
        <w:tc>
          <w:tcPr>
            <w:tcW w:w="10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w:t>
            </w:r>
          </w:p>
        </w:tc>
        <w:tc>
          <w:tcPr>
            <w:tcW w:w="0" w:type="dxa"/>
            <w:vAlign w:val="bottom"/>
          </w:tcPr>
          <w:p>
            <w:pPr>
              <w:spacing w:after="0"/>
              <w:rPr>
                <w:sz w:val="1"/>
                <w:szCs w:val="1"/>
                <w:color w:val="auto"/>
              </w:rPr>
            </w:pPr>
          </w:p>
        </w:tc>
      </w:tr>
      <w:tr>
        <w:trPr>
          <w:trHeight w:val="127"/>
        </w:trPr>
        <w:tc>
          <w:tcPr>
            <w:tcW w:w="6680" w:type="dxa"/>
            <w:vAlign w:val="bottom"/>
          </w:tcPr>
          <w:p>
            <w:pPr>
              <w:ind w:left="80"/>
              <w:spacing w:after="0"/>
              <w:rPr>
                <w:sz w:val="20"/>
                <w:szCs w:val="20"/>
                <w:color w:val="auto"/>
              </w:rPr>
            </w:pPr>
            <w:r>
              <w:rPr>
                <w:rFonts w:ascii="Arial" w:cs="Arial" w:eastAsia="Arial" w:hAnsi="Arial"/>
                <w:sz w:val="10"/>
                <w:szCs w:val="10"/>
                <w:b w:val="1"/>
                <w:bCs w:val="1"/>
                <w:color w:val="auto"/>
              </w:rPr>
              <w:t>Total provision for credit losses</w:t>
            </w:r>
          </w:p>
        </w:tc>
        <w:tc>
          <w:tcPr>
            <w:tcW w:w="1100" w:type="dxa"/>
            <w:vAlign w:val="bottom"/>
            <w:tcBorders>
              <w:bottom w:val="single" w:sz="8" w:color="auto"/>
            </w:tcBorders>
          </w:tcPr>
          <w:p>
            <w:pPr>
              <w:jc w:val="right"/>
              <w:ind w:right="992"/>
              <w:spacing w:after="0"/>
              <w:rPr>
                <w:sz w:val="20"/>
                <w:szCs w:val="20"/>
                <w:color w:val="auto"/>
              </w:rPr>
            </w:pPr>
            <w:r>
              <w:rPr>
                <w:rFonts w:ascii="Arial" w:cs="Arial" w:eastAsia="Arial" w:hAnsi="Arial"/>
                <w:sz w:val="10"/>
                <w:szCs w:val="10"/>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(156)</w:t>
            </w:r>
          </w:p>
        </w:tc>
        <w:tc>
          <w:tcPr>
            <w:tcW w:w="80" w:type="dxa"/>
            <w:vAlign w:val="bottom"/>
          </w:tcPr>
          <w:p>
            <w:pPr>
              <w:spacing w:after="0"/>
              <w:rPr>
                <w:sz w:val="11"/>
                <w:szCs w:val="11"/>
                <w:color w:val="auto"/>
              </w:rPr>
            </w:pPr>
          </w:p>
        </w:tc>
        <w:tc>
          <w:tcPr>
            <w:tcW w:w="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1,463</w:t>
            </w:r>
          </w:p>
        </w:tc>
        <w:tc>
          <w:tcPr>
            <w:tcW w:w="100" w:type="dxa"/>
            <w:vAlign w:val="bottom"/>
          </w:tcPr>
          <w:p>
            <w:pPr>
              <w:spacing w:after="0"/>
              <w:rPr>
                <w:sz w:val="11"/>
                <w:szCs w:val="11"/>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576</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00"/>
          </w:cols>
          <w:pgMar w:left="300" w:top="135" w:right="299" w:bottom="1440" w:gutter="0" w:footer="0" w:header="0"/>
        </w:sectPr>
      </w:pPr>
    </w:p>
    <w:bookmarkStart w:id="15" w:name="page16"/>
    <w:bookmarkEnd w:id="15"/>
    <w:p>
      <w:pPr>
        <w:ind w:left="8"/>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Page 13</w:t>
      </w:r>
    </w:p>
    <w:p>
      <w:pPr>
        <w:spacing w:after="0" w:line="200" w:lineRule="exact"/>
        <w:rPr>
          <w:sz w:val="20"/>
          <w:szCs w:val="20"/>
          <w:color w:val="auto"/>
        </w:rPr>
      </w:pP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Reconciliation of Non-GAAP Financial Measures –</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Adjusted Net Income and Adjusted Return on Average Assets</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6500" w:type="dxa"/>
            <w:vAlign w:val="bottom"/>
            <w:tcBorders>
              <w:top w:val="single" w:sz="8" w:color="auto"/>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420" w:type="dxa"/>
            <w:vAlign w:val="bottom"/>
            <w:tcBorders>
              <w:top w:val="single" w:sz="8" w:color="auto"/>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7"/>
              </w:rPr>
              <w:t>Three Months Ended</w:t>
            </w:r>
          </w:p>
        </w:tc>
        <w:tc>
          <w:tcPr>
            <w:tcW w:w="320" w:type="dxa"/>
            <w:vAlign w:val="bottom"/>
            <w:tcBorders>
              <w:top w:val="single" w:sz="8" w:color="auto"/>
              <w:bottom w:val="single" w:sz="8" w:color="auto"/>
            </w:tcBorders>
          </w:tcPr>
          <w:p>
            <w:pPr>
              <w:spacing w:after="0"/>
              <w:rPr>
                <w:sz w:val="11"/>
                <w:szCs w:val="11"/>
                <w:color w:val="auto"/>
              </w:rPr>
            </w:pPr>
          </w:p>
        </w:tc>
        <w:tc>
          <w:tcPr>
            <w:tcW w:w="124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650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320" w:type="dxa"/>
            <w:vAlign w:val="bottom"/>
          </w:tcPr>
          <w:p>
            <w:pPr>
              <w:spacing w:after="0"/>
              <w:rPr>
                <w:sz w:val="7"/>
                <w:szCs w:val="7"/>
                <w:color w:val="auto"/>
              </w:rPr>
            </w:pPr>
          </w:p>
        </w:tc>
        <w:tc>
          <w:tcPr>
            <w:tcW w:w="1300" w:type="dxa"/>
            <w:vAlign w:val="bottom"/>
            <w:gridSpan w:val="2"/>
          </w:tcPr>
          <w:p>
            <w:pPr>
              <w:ind w:left="240"/>
              <w:spacing w:after="0" w:line="89" w:lineRule="exact"/>
              <w:rPr>
                <w:sz w:val="20"/>
                <w:szCs w:val="20"/>
                <w:color w:val="auto"/>
              </w:rPr>
            </w:pPr>
            <w:r>
              <w:rPr>
                <w:rFonts w:ascii="Arial" w:cs="Arial" w:eastAsia="Arial" w:hAnsi="Arial"/>
                <w:sz w:val="10"/>
                <w:szCs w:val="10"/>
                <w:b w:val="1"/>
                <w:bCs w:val="1"/>
                <w:color w:val="auto"/>
              </w:rPr>
              <w:t>March 31,</w:t>
            </w:r>
          </w:p>
        </w:tc>
        <w:tc>
          <w:tcPr>
            <w:tcW w:w="200" w:type="dxa"/>
            <w:vAlign w:val="bottom"/>
          </w:tcPr>
          <w:p>
            <w:pPr>
              <w:spacing w:after="0"/>
              <w:rPr>
                <w:sz w:val="7"/>
                <w:szCs w:val="7"/>
                <w:color w:val="auto"/>
              </w:rPr>
            </w:pPr>
          </w:p>
        </w:tc>
        <w:tc>
          <w:tcPr>
            <w:tcW w:w="1420" w:type="dxa"/>
            <w:vAlign w:val="bottom"/>
            <w:gridSpan w:val="2"/>
          </w:tcPr>
          <w:p>
            <w:pPr>
              <w:jc w:val="center"/>
              <w:ind w:right="280"/>
              <w:spacing w:after="0" w:line="89" w:lineRule="exact"/>
              <w:rPr>
                <w:sz w:val="20"/>
                <w:szCs w:val="20"/>
                <w:color w:val="auto"/>
              </w:rPr>
            </w:pPr>
            <w:r>
              <w:rPr>
                <w:rFonts w:ascii="Arial" w:cs="Arial" w:eastAsia="Arial" w:hAnsi="Arial"/>
                <w:sz w:val="10"/>
                <w:szCs w:val="10"/>
                <w:b w:val="1"/>
                <w:bCs w:val="1"/>
                <w:color w:val="auto"/>
                <w:w w:val="95"/>
              </w:rPr>
              <w:t>December 31,</w:t>
            </w:r>
          </w:p>
        </w:tc>
        <w:tc>
          <w:tcPr>
            <w:tcW w:w="320" w:type="dxa"/>
            <w:vAlign w:val="bottom"/>
          </w:tcPr>
          <w:p>
            <w:pPr>
              <w:spacing w:after="0"/>
              <w:rPr>
                <w:sz w:val="7"/>
                <w:szCs w:val="7"/>
                <w:color w:val="auto"/>
              </w:rPr>
            </w:pPr>
          </w:p>
        </w:tc>
        <w:tc>
          <w:tcPr>
            <w:tcW w:w="1240" w:type="dxa"/>
            <w:vAlign w:val="bottom"/>
          </w:tcPr>
          <w:p>
            <w:pPr>
              <w:jc w:val="right"/>
              <w:ind w:right="512"/>
              <w:spacing w:after="0" w:line="89" w:lineRule="exact"/>
              <w:rPr>
                <w:sz w:val="20"/>
                <w:szCs w:val="20"/>
                <w:color w:val="auto"/>
              </w:rPr>
            </w:pPr>
            <w:r>
              <w:rPr>
                <w:rFonts w:ascii="Arial" w:cs="Arial" w:eastAsia="Arial" w:hAnsi="Arial"/>
                <w:sz w:val="10"/>
                <w:szCs w:val="10"/>
                <w:b w:val="1"/>
                <w:bCs w:val="1"/>
                <w:color w:val="auto"/>
              </w:rPr>
              <w:t>March 31,</w:t>
            </w:r>
          </w:p>
        </w:tc>
        <w:tc>
          <w:tcPr>
            <w:tcW w:w="0" w:type="dxa"/>
            <w:vAlign w:val="bottom"/>
          </w:tcPr>
          <w:p>
            <w:pPr>
              <w:spacing w:after="0"/>
              <w:rPr>
                <w:sz w:val="1"/>
                <w:szCs w:val="1"/>
                <w:color w:val="auto"/>
              </w:rPr>
            </w:pPr>
          </w:p>
        </w:tc>
      </w:tr>
      <w:tr>
        <w:trPr>
          <w:trHeight w:val="134"/>
        </w:trPr>
        <w:tc>
          <w:tcPr>
            <w:tcW w:w="6500" w:type="dxa"/>
            <w:vAlign w:val="bottom"/>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center"/>
              <w:ind w:right="132"/>
              <w:spacing w:after="0"/>
              <w:rPr>
                <w:sz w:val="20"/>
                <w:szCs w:val="20"/>
                <w:color w:val="auto"/>
              </w:rPr>
            </w:pPr>
            <w:r>
              <w:rPr>
                <w:rFonts w:ascii="Arial" w:cs="Arial" w:eastAsia="Arial" w:hAnsi="Arial"/>
                <w:sz w:val="10"/>
                <w:szCs w:val="10"/>
                <w:b w:val="1"/>
                <w:bCs w:val="1"/>
                <w:color w:val="auto"/>
                <w:w w:val="89"/>
              </w:rPr>
              <w:t>2025</w:t>
            </w:r>
          </w:p>
        </w:tc>
        <w:tc>
          <w:tcPr>
            <w:tcW w:w="8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43"/>
        </w:trPr>
        <w:tc>
          <w:tcPr>
            <w:tcW w:w="6500" w:type="dxa"/>
            <w:vAlign w:val="bottom"/>
            <w:shd w:val="clear" w:color="auto" w:fill="CCEEFF"/>
          </w:tcPr>
          <w:p>
            <w:pPr>
              <w:spacing w:after="0"/>
              <w:rPr>
                <w:sz w:val="20"/>
                <w:szCs w:val="20"/>
                <w:color w:val="auto"/>
              </w:rPr>
            </w:pPr>
            <w:r>
              <w:rPr>
                <w:rFonts w:ascii="Arial" w:cs="Arial" w:eastAsia="Arial" w:hAnsi="Arial"/>
                <w:sz w:val="10"/>
                <w:szCs w:val="10"/>
                <w:color w:val="auto"/>
              </w:rPr>
              <w:t>Net income</w:t>
            </w:r>
          </w:p>
        </w:tc>
        <w:tc>
          <w:tcPr>
            <w:tcW w:w="32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11,200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18,938</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19,075</w:t>
            </w:r>
          </w:p>
        </w:tc>
        <w:tc>
          <w:tcPr>
            <w:tcW w:w="0" w:type="dxa"/>
            <w:vAlign w:val="bottom"/>
          </w:tcPr>
          <w:p>
            <w:pPr>
              <w:spacing w:after="0"/>
              <w:rPr>
                <w:sz w:val="1"/>
                <w:szCs w:val="1"/>
                <w:color w:val="auto"/>
              </w:rPr>
            </w:pPr>
          </w:p>
        </w:tc>
      </w:tr>
      <w:tr>
        <w:trPr>
          <w:trHeight w:val="132"/>
        </w:trPr>
        <w:tc>
          <w:tcPr>
            <w:tcW w:w="6500" w:type="dxa"/>
            <w:vAlign w:val="bottom"/>
          </w:tcPr>
          <w:p>
            <w:pPr>
              <w:spacing w:after="0"/>
              <w:rPr>
                <w:sz w:val="20"/>
                <w:szCs w:val="20"/>
                <w:color w:val="auto"/>
              </w:rPr>
            </w:pPr>
            <w:r>
              <w:rPr>
                <w:rFonts w:ascii="Arial" w:cs="Arial" w:eastAsia="Arial" w:hAnsi="Arial"/>
                <w:sz w:val="10"/>
                <w:szCs w:val="10"/>
                <w:color w:val="auto"/>
              </w:rPr>
              <w:t>Less: adjustments</w:t>
            </w: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500" w:type="dxa"/>
            <w:vAlign w:val="bottom"/>
            <w:shd w:val="clear" w:color="auto" w:fill="CCEEFF"/>
          </w:tcPr>
          <w:p>
            <w:pPr>
              <w:ind w:left="60"/>
              <w:spacing w:after="0"/>
              <w:rPr>
                <w:sz w:val="20"/>
                <w:szCs w:val="20"/>
                <w:color w:val="auto"/>
              </w:rPr>
            </w:pPr>
            <w:r>
              <w:rPr>
                <w:rFonts w:ascii="Arial" w:cs="Arial" w:eastAsia="Arial" w:hAnsi="Arial"/>
                <w:sz w:val="10"/>
                <w:szCs w:val="10"/>
                <w:color w:val="auto"/>
              </w:rPr>
              <w:t>Acquisition expenses</w:t>
            </w: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(15,666)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(999)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6500" w:type="dxa"/>
            <w:vAlign w:val="bottom"/>
          </w:tcPr>
          <w:p>
            <w:pPr>
              <w:ind w:left="60"/>
              <w:spacing w:after="0"/>
              <w:rPr>
                <w:sz w:val="20"/>
                <w:szCs w:val="20"/>
                <w:color w:val="auto"/>
              </w:rPr>
            </w:pPr>
            <w:r>
              <w:rPr>
                <w:rFonts w:ascii="Arial" w:cs="Arial" w:eastAsia="Arial" w:hAnsi="Arial"/>
                <w:sz w:val="10"/>
                <w:szCs w:val="10"/>
                <w:color w:val="auto"/>
              </w:rPr>
              <w:t>Net earnings (losses) on closed or sold operations</w:t>
            </w:r>
          </w:p>
        </w:tc>
        <w:tc>
          <w:tcPr>
            <w:tcW w:w="320" w:type="dxa"/>
            <w:vAlign w:val="bottom"/>
          </w:tcPr>
          <w:p>
            <w:pPr>
              <w:spacing w:after="0"/>
              <w:rPr>
                <w:sz w:val="11"/>
                <w:szCs w:val="11"/>
                <w:color w:val="auto"/>
              </w:rPr>
            </w:pP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6500" w:type="dxa"/>
            <w:vAlign w:val="bottom"/>
            <w:shd w:val="clear" w:color="auto" w:fill="CCEEFF"/>
          </w:tcPr>
          <w:p>
            <w:pPr>
              <w:ind w:left="60"/>
              <w:spacing w:after="0"/>
              <w:rPr>
                <w:sz w:val="20"/>
                <w:szCs w:val="20"/>
                <w:color w:val="auto"/>
              </w:rPr>
            </w:pPr>
            <w:r>
              <w:rPr>
                <w:rFonts w:ascii="Arial" w:cs="Arial" w:eastAsia="Arial" w:hAnsi="Arial"/>
                <w:sz w:val="10"/>
                <w:szCs w:val="10"/>
                <w:color w:val="auto"/>
              </w:rPr>
              <w:t>Gains (losses) on closed branch premises</w:t>
            </w:r>
          </w:p>
        </w:tc>
        <w:tc>
          <w:tcPr>
            <w:tcW w:w="320" w:type="dxa"/>
            <w:vAlign w:val="bottom"/>
            <w:shd w:val="clear" w:color="auto" w:fill="CCEEFF"/>
          </w:tcPr>
          <w:p>
            <w:pPr>
              <w:spacing w:after="0"/>
              <w:rPr>
                <w:sz w:val="12"/>
                <w:szCs w:val="12"/>
                <w:color w:val="auto"/>
              </w:rPr>
            </w:pPr>
          </w:p>
        </w:tc>
        <w:tc>
          <w:tcPr>
            <w:tcW w:w="12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(210)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w:t>
            </w:r>
          </w:p>
        </w:tc>
        <w:tc>
          <w:tcPr>
            <w:tcW w:w="0" w:type="dxa"/>
            <w:vAlign w:val="bottom"/>
          </w:tcPr>
          <w:p>
            <w:pPr>
              <w:spacing w:after="0"/>
              <w:rPr>
                <w:sz w:val="1"/>
                <w:szCs w:val="1"/>
                <w:color w:val="auto"/>
              </w:rPr>
            </w:pPr>
          </w:p>
        </w:tc>
      </w:tr>
      <w:tr>
        <w:trPr>
          <w:trHeight w:val="132"/>
        </w:trPr>
        <w:tc>
          <w:tcPr>
            <w:tcW w:w="6500" w:type="dxa"/>
            <w:vAlign w:val="bottom"/>
          </w:tcPr>
          <w:p>
            <w:pPr>
              <w:ind w:left="60"/>
              <w:spacing w:after="0"/>
              <w:rPr>
                <w:sz w:val="20"/>
                <w:szCs w:val="20"/>
                <w:color w:val="auto"/>
              </w:rPr>
            </w:pPr>
            <w:r>
              <w:rPr>
                <w:rFonts w:ascii="Arial" w:cs="Arial" w:eastAsia="Arial" w:hAnsi="Arial"/>
                <w:sz w:val="10"/>
                <w:szCs w:val="10"/>
                <w:color w:val="auto"/>
              </w:rPr>
              <w:t>Realized gains (losses) on sales of securities</w:t>
            </w:r>
          </w:p>
        </w:tc>
        <w:tc>
          <w:tcPr>
            <w:tcW w:w="320" w:type="dxa"/>
            <w:vAlign w:val="bottom"/>
          </w:tcPr>
          <w:p>
            <w:pPr>
              <w:spacing w:after="0"/>
              <w:rPr>
                <w:sz w:val="11"/>
                <w:szCs w:val="11"/>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Arial" w:cs="Arial" w:eastAsia="Arial" w:hAnsi="Arial"/>
                <w:sz w:val="10"/>
                <w:szCs w:val="10"/>
                <w:color w:val="auto"/>
              </w:rPr>
              <w:t>(151)</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6500" w:type="dxa"/>
            <w:vAlign w:val="bottom"/>
            <w:shd w:val="clear" w:color="auto" w:fill="CCEEFF"/>
          </w:tcPr>
          <w:p>
            <w:pPr>
              <w:ind w:left="60"/>
              <w:spacing w:after="0"/>
              <w:rPr>
                <w:sz w:val="20"/>
                <w:szCs w:val="20"/>
                <w:color w:val="auto"/>
              </w:rPr>
            </w:pPr>
            <w:r>
              <w:rPr>
                <w:rFonts w:ascii="Arial" w:cs="Arial" w:eastAsia="Arial" w:hAnsi="Arial"/>
                <w:sz w:val="10"/>
                <w:szCs w:val="10"/>
                <w:color w:val="auto"/>
              </w:rPr>
              <w:t>Mortgage servicing rights fair value adjustment</w:t>
            </w:r>
          </w:p>
        </w:tc>
        <w:tc>
          <w:tcPr>
            <w:tcW w:w="32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197</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(310)</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(308)</w:t>
            </w:r>
          </w:p>
        </w:tc>
        <w:tc>
          <w:tcPr>
            <w:tcW w:w="0" w:type="dxa"/>
            <w:vAlign w:val="bottom"/>
          </w:tcPr>
          <w:p>
            <w:pPr>
              <w:spacing w:after="0"/>
              <w:rPr>
                <w:sz w:val="1"/>
                <w:szCs w:val="1"/>
                <w:color w:val="auto"/>
              </w:rPr>
            </w:pPr>
          </w:p>
        </w:tc>
      </w:tr>
      <w:tr>
        <w:trPr>
          <w:trHeight w:val="121"/>
        </w:trPr>
        <w:tc>
          <w:tcPr>
            <w:tcW w:w="6500" w:type="dxa"/>
            <w:vAlign w:val="bottom"/>
          </w:tcPr>
          <w:p>
            <w:pPr>
              <w:ind w:left="160"/>
              <w:spacing w:after="0"/>
              <w:rPr>
                <w:sz w:val="20"/>
                <w:szCs w:val="20"/>
                <w:color w:val="auto"/>
              </w:rPr>
            </w:pPr>
            <w:r>
              <w:rPr>
                <w:rFonts w:ascii="Arial" w:cs="Arial" w:eastAsia="Arial" w:hAnsi="Arial"/>
                <w:sz w:val="10"/>
                <w:szCs w:val="10"/>
                <w:color w:val="auto"/>
              </w:rPr>
              <w:t>Total adjustments</w:t>
            </w:r>
          </w:p>
        </w:tc>
        <w:tc>
          <w:tcPr>
            <w:tcW w:w="320" w:type="dxa"/>
            <w:vAlign w:val="bottom"/>
          </w:tcPr>
          <w:p>
            <w:pPr>
              <w:spacing w:after="0"/>
              <w:rPr>
                <w:sz w:val="10"/>
                <w:szCs w:val="10"/>
                <w:color w:val="auto"/>
              </w:rPr>
            </w:pPr>
          </w:p>
        </w:tc>
        <w:tc>
          <w:tcPr>
            <w:tcW w:w="1220" w:type="dxa"/>
            <w:vAlign w:val="bottom"/>
          </w:tcPr>
          <w:p>
            <w:pPr>
              <w:jc w:val="right"/>
              <w:ind w:right="52"/>
              <w:spacing w:after="0"/>
              <w:rPr>
                <w:sz w:val="20"/>
                <w:szCs w:val="20"/>
                <w:color w:val="auto"/>
              </w:rPr>
            </w:pPr>
            <w:r>
              <w:rPr>
                <w:rFonts w:ascii="Arial" w:cs="Arial" w:eastAsia="Arial" w:hAnsi="Arial"/>
                <w:sz w:val="10"/>
                <w:szCs w:val="10"/>
                <w:color w:val="auto"/>
              </w:rPr>
              <w:t>(15,675)</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jc w:val="right"/>
              <w:ind w:right="52"/>
              <w:spacing w:after="0"/>
              <w:rPr>
                <w:sz w:val="20"/>
                <w:szCs w:val="20"/>
                <w:color w:val="auto"/>
              </w:rPr>
            </w:pPr>
            <w:r>
              <w:rPr>
                <w:rFonts w:ascii="Arial" w:cs="Arial" w:eastAsia="Arial" w:hAnsi="Arial"/>
                <w:sz w:val="10"/>
                <w:szCs w:val="10"/>
                <w:color w:val="auto"/>
              </w:rPr>
              <w:t>(1,460)</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tcPr>
          <w:p>
            <w:pPr>
              <w:jc w:val="right"/>
              <w:ind w:right="52"/>
              <w:spacing w:after="0"/>
              <w:rPr>
                <w:sz w:val="20"/>
                <w:szCs w:val="20"/>
                <w:color w:val="auto"/>
              </w:rPr>
            </w:pPr>
            <w:r>
              <w:rPr>
                <w:rFonts w:ascii="Arial" w:cs="Arial" w:eastAsia="Arial" w:hAnsi="Arial"/>
                <w:sz w:val="10"/>
                <w:szCs w:val="10"/>
                <w:color w:val="auto"/>
              </w:rPr>
              <w:t>(249)</w:t>
            </w:r>
          </w:p>
        </w:tc>
        <w:tc>
          <w:tcPr>
            <w:tcW w:w="0" w:type="dxa"/>
            <w:vAlign w:val="bottom"/>
          </w:tcPr>
          <w:p>
            <w:pPr>
              <w:spacing w:after="0"/>
              <w:rPr>
                <w:sz w:val="1"/>
                <w:szCs w:val="1"/>
                <w:color w:val="auto"/>
              </w:rPr>
            </w:pPr>
          </w:p>
        </w:tc>
      </w:tr>
      <w:tr>
        <w:trPr>
          <w:trHeight w:val="138"/>
        </w:trPr>
        <w:tc>
          <w:tcPr>
            <w:tcW w:w="6500" w:type="dxa"/>
            <w:vAlign w:val="bottom"/>
            <w:shd w:val="clear" w:color="auto" w:fill="CCEEFF"/>
          </w:tcPr>
          <w:p>
            <w:pPr>
              <w:ind w:left="80"/>
              <w:spacing w:after="0"/>
              <w:rPr>
                <w:sz w:val="20"/>
                <w:szCs w:val="20"/>
                <w:color w:val="auto"/>
              </w:rPr>
            </w:pPr>
            <w:r>
              <w:rPr>
                <w:rFonts w:ascii="Arial" w:cs="Arial" w:eastAsia="Arial" w:hAnsi="Arial"/>
                <w:sz w:val="10"/>
                <w:szCs w:val="10"/>
                <w:color w:val="auto"/>
              </w:rPr>
              <w:t xml:space="preserve">Tax effect of adjustments </w:t>
            </w:r>
            <w:r>
              <w:rPr>
                <w:rFonts w:ascii="Arial" w:cs="Arial" w:eastAsia="Arial" w:hAnsi="Arial"/>
                <w:sz w:val="12"/>
                <w:szCs w:val="12"/>
                <w:color w:val="auto"/>
                <w:vertAlign w:val="superscript"/>
              </w:rPr>
              <w:t>(1)</w:t>
            </w:r>
          </w:p>
        </w:tc>
        <w:tc>
          <w:tcPr>
            <w:tcW w:w="32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4,265</w:t>
            </w:r>
          </w:p>
        </w:tc>
        <w:tc>
          <w:tcPr>
            <w:tcW w:w="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259</w:t>
            </w:r>
          </w:p>
        </w:tc>
        <w:tc>
          <w:tcPr>
            <w:tcW w:w="8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71</w:t>
            </w:r>
          </w:p>
        </w:tc>
        <w:tc>
          <w:tcPr>
            <w:tcW w:w="0" w:type="dxa"/>
            <w:vAlign w:val="bottom"/>
          </w:tcPr>
          <w:p>
            <w:pPr>
              <w:spacing w:after="0"/>
              <w:rPr>
                <w:sz w:val="1"/>
                <w:szCs w:val="1"/>
                <w:color w:val="auto"/>
              </w:rPr>
            </w:pPr>
          </w:p>
        </w:tc>
      </w:tr>
      <w:tr>
        <w:trPr>
          <w:trHeight w:val="121"/>
        </w:trPr>
        <w:tc>
          <w:tcPr>
            <w:tcW w:w="6500" w:type="dxa"/>
            <w:vAlign w:val="bottom"/>
            <w:tcBorders>
              <w:bottom w:val="single" w:sz="8" w:color="CCEEFF"/>
            </w:tcBorders>
          </w:tcPr>
          <w:p>
            <w:pPr>
              <w:ind w:left="160"/>
              <w:spacing w:after="0"/>
              <w:rPr>
                <w:sz w:val="20"/>
                <w:szCs w:val="20"/>
                <w:color w:val="auto"/>
              </w:rPr>
            </w:pPr>
            <w:r>
              <w:rPr>
                <w:rFonts w:ascii="Arial" w:cs="Arial" w:eastAsia="Arial" w:hAnsi="Arial"/>
                <w:sz w:val="10"/>
                <w:szCs w:val="10"/>
                <w:color w:val="auto"/>
              </w:rPr>
              <w:t>Total adjustments after tax effect</w:t>
            </w:r>
          </w:p>
        </w:tc>
        <w:tc>
          <w:tcPr>
            <w:tcW w:w="3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(11,410)</w:t>
            </w:r>
          </w:p>
        </w:tc>
        <w:tc>
          <w:tcPr>
            <w:tcW w:w="8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(1,201)</w:t>
            </w:r>
          </w:p>
        </w:tc>
        <w:tc>
          <w:tcPr>
            <w:tcW w:w="80" w:type="dxa"/>
            <w:vAlign w:val="bottom"/>
            <w:tcBorders>
              <w:bottom w:val="single" w:sz="8" w:color="CCEEFF"/>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(178)</w:t>
            </w:r>
          </w:p>
        </w:tc>
        <w:tc>
          <w:tcPr>
            <w:tcW w:w="0" w:type="dxa"/>
            <w:vAlign w:val="bottom"/>
          </w:tcPr>
          <w:p>
            <w:pPr>
              <w:spacing w:after="0"/>
              <w:rPr>
                <w:sz w:val="1"/>
                <w:szCs w:val="1"/>
                <w:color w:val="auto"/>
              </w:rPr>
            </w:pPr>
          </w:p>
        </w:tc>
      </w:tr>
      <w:tr>
        <w:trPr>
          <w:trHeight w:val="143"/>
        </w:trPr>
        <w:tc>
          <w:tcPr>
            <w:tcW w:w="6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0"/>
                <w:szCs w:val="10"/>
                <w:b w:val="1"/>
                <w:bCs w:val="1"/>
                <w:color w:val="auto"/>
              </w:rPr>
              <w:t>Adjusted net income</w:t>
            </w:r>
          </w:p>
        </w:tc>
        <w:tc>
          <w:tcPr>
            <w:tcW w:w="3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22,610</w:t>
            </w:r>
          </w:p>
        </w:tc>
        <w:tc>
          <w:tcPr>
            <w:tcW w:w="8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20,139</w:t>
            </w:r>
          </w:p>
        </w:tc>
        <w:tc>
          <w:tcPr>
            <w:tcW w:w="8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19,253</w:t>
            </w:r>
          </w:p>
        </w:tc>
        <w:tc>
          <w:tcPr>
            <w:tcW w:w="0" w:type="dxa"/>
            <w:vAlign w:val="bottom"/>
          </w:tcPr>
          <w:p>
            <w:pPr>
              <w:spacing w:after="0"/>
              <w:rPr>
                <w:sz w:val="1"/>
                <w:szCs w:val="1"/>
                <w:color w:val="auto"/>
              </w:rPr>
            </w:pPr>
          </w:p>
        </w:tc>
      </w:tr>
      <w:tr>
        <w:trPr>
          <w:trHeight w:val="90"/>
        </w:trPr>
        <w:tc>
          <w:tcPr>
            <w:tcW w:w="6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6500" w:type="dxa"/>
            <w:vAlign w:val="bottom"/>
            <w:shd w:val="clear" w:color="auto" w:fill="CCEEFF"/>
          </w:tcPr>
          <w:p>
            <w:pPr>
              <w:spacing w:after="0"/>
              <w:rPr>
                <w:sz w:val="20"/>
                <w:szCs w:val="20"/>
                <w:color w:val="auto"/>
              </w:rPr>
            </w:pPr>
            <w:r>
              <w:rPr>
                <w:rFonts w:ascii="Arial" w:cs="Arial" w:eastAsia="Arial" w:hAnsi="Arial"/>
                <w:sz w:val="10"/>
                <w:szCs w:val="10"/>
                <w:color w:val="auto"/>
              </w:rPr>
              <w:t>Average assets</w:t>
            </w:r>
          </w:p>
        </w:tc>
        <w:tc>
          <w:tcPr>
            <w:tcW w:w="32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5,713,444</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5,099,275</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5,032,813</w:t>
            </w:r>
          </w:p>
        </w:tc>
        <w:tc>
          <w:tcPr>
            <w:tcW w:w="0" w:type="dxa"/>
            <w:vAlign w:val="bottom"/>
          </w:tcPr>
          <w:p>
            <w:pPr>
              <w:spacing w:after="0"/>
              <w:rPr>
                <w:sz w:val="1"/>
                <w:szCs w:val="1"/>
                <w:color w:val="auto"/>
              </w:rPr>
            </w:pPr>
          </w:p>
        </w:tc>
      </w:tr>
      <w:tr>
        <w:trPr>
          <w:trHeight w:val="108"/>
        </w:trPr>
        <w:tc>
          <w:tcPr>
            <w:tcW w:w="6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500" w:type="dxa"/>
            <w:vAlign w:val="bottom"/>
            <w:shd w:val="clear" w:color="auto" w:fill="CCEEFF"/>
          </w:tcPr>
          <w:p>
            <w:pPr>
              <w:spacing w:after="0"/>
              <w:rPr>
                <w:sz w:val="20"/>
                <w:szCs w:val="20"/>
                <w:color w:val="auto"/>
              </w:rPr>
            </w:pPr>
            <w:r>
              <w:rPr>
                <w:rFonts w:ascii="Arial" w:cs="Arial" w:eastAsia="Arial" w:hAnsi="Arial"/>
                <w:sz w:val="10"/>
                <w:szCs w:val="10"/>
                <w:color w:val="auto"/>
              </w:rPr>
              <w:t>Return on average assets *</w:t>
            </w:r>
          </w:p>
        </w:tc>
        <w:tc>
          <w:tcPr>
            <w:tcW w:w="32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0.80 %</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1.47 %</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1.54 %</w:t>
            </w:r>
          </w:p>
        </w:tc>
        <w:tc>
          <w:tcPr>
            <w:tcW w:w="0" w:type="dxa"/>
            <w:vAlign w:val="bottom"/>
          </w:tcPr>
          <w:p>
            <w:pPr>
              <w:spacing w:after="0"/>
              <w:rPr>
                <w:sz w:val="1"/>
                <w:szCs w:val="1"/>
                <w:color w:val="auto"/>
              </w:rPr>
            </w:pPr>
          </w:p>
        </w:tc>
      </w:tr>
      <w:tr>
        <w:trPr>
          <w:trHeight w:val="129"/>
        </w:trPr>
        <w:tc>
          <w:tcPr>
            <w:tcW w:w="6500" w:type="dxa"/>
            <w:vAlign w:val="bottom"/>
          </w:tcPr>
          <w:p>
            <w:pPr>
              <w:spacing w:after="0"/>
              <w:rPr>
                <w:sz w:val="20"/>
                <w:szCs w:val="20"/>
                <w:color w:val="auto"/>
              </w:rPr>
            </w:pPr>
            <w:r>
              <w:rPr>
                <w:rFonts w:ascii="Arial" w:cs="Arial" w:eastAsia="Arial" w:hAnsi="Arial"/>
                <w:sz w:val="10"/>
                <w:szCs w:val="10"/>
                <w:color w:val="auto"/>
              </w:rPr>
              <w:t>Adjusted return on average assets *</w:t>
            </w:r>
          </w:p>
        </w:tc>
        <w:tc>
          <w:tcPr>
            <w:tcW w:w="320" w:type="dxa"/>
            <w:vAlign w:val="bottom"/>
          </w:tcPr>
          <w:p>
            <w:pPr>
              <w:spacing w:after="0"/>
              <w:rPr>
                <w:sz w:val="11"/>
                <w:szCs w:val="11"/>
                <w:color w:val="auto"/>
              </w:rPr>
            </w:pP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1.60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1.57</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1.55</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____________________________________</w:t>
      </w:r>
    </w:p>
    <w:p>
      <w:pPr>
        <w:spacing w:after="0" w:line="10" w:lineRule="exact"/>
        <w:rPr>
          <w:sz w:val="20"/>
          <w:szCs w:val="20"/>
          <w:color w:val="auto"/>
        </w:rPr>
      </w:pPr>
    </w:p>
    <w:p>
      <w:pPr>
        <w:ind w:left="208" w:hanging="208"/>
        <w:spacing w:after="0"/>
        <w:tabs>
          <w:tab w:leader="none" w:pos="208" w:val="left"/>
        </w:tabs>
        <w:numPr>
          <w:ilvl w:val="0"/>
          <w:numId w:val="9"/>
        </w:numPr>
        <w:rPr>
          <w:rFonts w:ascii="Arial" w:cs="Arial" w:eastAsia="Arial" w:hAnsi="Arial"/>
          <w:sz w:val="10"/>
          <w:szCs w:val="10"/>
          <w:color w:val="auto"/>
        </w:rPr>
      </w:pPr>
      <w:r>
        <w:rPr>
          <w:rFonts w:ascii="Arial" w:cs="Arial" w:eastAsia="Arial" w:hAnsi="Arial"/>
          <w:sz w:val="10"/>
          <w:szCs w:val="10"/>
          <w:color w:val="auto"/>
        </w:rPr>
        <w:t>Annualized measure.</w:t>
      </w:r>
    </w:p>
    <w:p>
      <w:pPr>
        <w:spacing w:after="0" w:line="2" w:lineRule="exact"/>
        <w:rPr>
          <w:sz w:val="20"/>
          <w:szCs w:val="20"/>
          <w:color w:val="auto"/>
        </w:rPr>
      </w:pPr>
    </w:p>
    <w:p>
      <w:pPr>
        <w:ind w:left="8"/>
        <w:spacing w:after="0"/>
        <w:tabs>
          <w:tab w:leader="none" w:pos="188"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8"/>
          <w:szCs w:val="8"/>
          <w:color w:val="auto"/>
        </w:rPr>
        <w:t>Assumes a federal income tax rate of 21% and a state tax rate of 9.5%, and excludes non-deductible acquisition expenses.</w:t>
      </w:r>
    </w:p>
    <w:p>
      <w:pPr>
        <w:spacing w:after="0" w:line="136" w:lineRule="exact"/>
        <w:rPr>
          <w:sz w:val="20"/>
          <w:szCs w:val="20"/>
          <w:color w:val="auto"/>
        </w:rPr>
      </w:pPr>
    </w:p>
    <w:p>
      <w:pPr>
        <w:ind w:left="4508"/>
        <w:spacing w:after="0"/>
        <w:rPr>
          <w:sz w:val="20"/>
          <w:szCs w:val="20"/>
          <w:color w:val="auto"/>
        </w:rPr>
      </w:pPr>
      <w:r>
        <w:rPr>
          <w:rFonts w:ascii="Arial" w:cs="Arial" w:eastAsia="Arial" w:hAnsi="Arial"/>
          <w:sz w:val="10"/>
          <w:szCs w:val="10"/>
          <w:b w:val="1"/>
          <w:bCs w:val="1"/>
          <w:color w:val="auto"/>
        </w:rPr>
        <w:t>Reconciliation of Non-GAAP Financial Measures –</w:t>
      </w:r>
    </w:p>
    <w:p>
      <w:pPr>
        <w:spacing w:after="0" w:line="3" w:lineRule="exact"/>
        <w:rPr>
          <w:sz w:val="20"/>
          <w:szCs w:val="20"/>
          <w:color w:val="auto"/>
        </w:rPr>
      </w:pPr>
    </w:p>
    <w:p>
      <w:pPr>
        <w:ind w:left="4508"/>
        <w:spacing w:after="0"/>
        <w:rPr>
          <w:sz w:val="20"/>
          <w:szCs w:val="20"/>
          <w:color w:val="auto"/>
        </w:rPr>
      </w:pPr>
      <w:r>
        <w:rPr>
          <w:rFonts w:ascii="Arial" w:cs="Arial" w:eastAsia="Arial" w:hAnsi="Arial"/>
          <w:sz w:val="10"/>
          <w:szCs w:val="10"/>
          <w:b w:val="1"/>
          <w:bCs w:val="1"/>
          <w:color w:val="auto"/>
        </w:rPr>
        <w:t>Adjusted Earnings Per Share — Basic and Diluted</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134"/>
        </w:trPr>
        <w:tc>
          <w:tcPr>
            <w:tcW w:w="6680" w:type="dxa"/>
            <w:vAlign w:val="bottom"/>
            <w:tcBorders>
              <w:top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400" w:type="dxa"/>
            <w:vAlign w:val="bottom"/>
            <w:tcBorders>
              <w:top w:val="single" w:sz="8" w:color="auto"/>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4"/>
              </w:rPr>
              <w:t>Three Months Ended</w:t>
            </w:r>
          </w:p>
        </w:tc>
        <w:tc>
          <w:tcPr>
            <w:tcW w:w="28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668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 except per share amounts)</w:t>
            </w:r>
          </w:p>
        </w:tc>
        <w:tc>
          <w:tcPr>
            <w:tcW w:w="300" w:type="dxa"/>
            <w:vAlign w:val="bottom"/>
          </w:tcPr>
          <w:p>
            <w:pPr>
              <w:spacing w:after="0"/>
              <w:rPr>
                <w:sz w:val="7"/>
                <w:szCs w:val="7"/>
                <w:color w:val="auto"/>
              </w:rPr>
            </w:pPr>
          </w:p>
        </w:tc>
        <w:tc>
          <w:tcPr>
            <w:tcW w:w="1260" w:type="dxa"/>
            <w:vAlign w:val="bottom"/>
            <w:gridSpan w:val="2"/>
          </w:tcPr>
          <w:p>
            <w:pPr>
              <w:ind w:left="220"/>
              <w:spacing w:after="0" w:line="92" w:lineRule="exact"/>
              <w:rPr>
                <w:sz w:val="20"/>
                <w:szCs w:val="20"/>
                <w:color w:val="auto"/>
              </w:rPr>
            </w:pPr>
            <w:r>
              <w:rPr>
                <w:rFonts w:ascii="Arial" w:cs="Arial" w:eastAsia="Arial" w:hAnsi="Arial"/>
                <w:sz w:val="10"/>
                <w:szCs w:val="10"/>
                <w:b w:val="1"/>
                <w:bCs w:val="1"/>
                <w:color w:val="auto"/>
              </w:rPr>
              <w:t>March 31,</w:t>
            </w:r>
          </w:p>
        </w:tc>
        <w:tc>
          <w:tcPr>
            <w:tcW w:w="180" w:type="dxa"/>
            <w:vAlign w:val="bottom"/>
          </w:tcPr>
          <w:p>
            <w:pPr>
              <w:spacing w:after="0"/>
              <w:rPr>
                <w:sz w:val="7"/>
                <w:szCs w:val="7"/>
                <w:color w:val="auto"/>
              </w:rPr>
            </w:pPr>
          </w:p>
        </w:tc>
        <w:tc>
          <w:tcPr>
            <w:tcW w:w="1400" w:type="dxa"/>
            <w:vAlign w:val="bottom"/>
            <w:gridSpan w:val="2"/>
          </w:tcPr>
          <w:p>
            <w:pPr>
              <w:jc w:val="center"/>
              <w:ind w:right="260"/>
              <w:spacing w:after="0" w:line="92" w:lineRule="exact"/>
              <w:rPr>
                <w:sz w:val="20"/>
                <w:szCs w:val="20"/>
                <w:color w:val="auto"/>
              </w:rPr>
            </w:pPr>
            <w:r>
              <w:rPr>
                <w:rFonts w:ascii="Arial" w:cs="Arial" w:eastAsia="Arial" w:hAnsi="Arial"/>
                <w:sz w:val="10"/>
                <w:szCs w:val="10"/>
                <w:b w:val="1"/>
                <w:bCs w:val="1"/>
                <w:color w:val="auto"/>
                <w:w w:val="95"/>
              </w:rPr>
              <w:t>December 31,</w:t>
            </w:r>
          </w:p>
        </w:tc>
        <w:tc>
          <w:tcPr>
            <w:tcW w:w="280" w:type="dxa"/>
            <w:vAlign w:val="bottom"/>
          </w:tcPr>
          <w:p>
            <w:pPr>
              <w:spacing w:after="0"/>
              <w:rPr>
                <w:sz w:val="7"/>
                <w:szCs w:val="7"/>
                <w:color w:val="auto"/>
              </w:rPr>
            </w:pPr>
          </w:p>
        </w:tc>
        <w:tc>
          <w:tcPr>
            <w:tcW w:w="1200" w:type="dxa"/>
            <w:vAlign w:val="bottom"/>
          </w:tcPr>
          <w:p>
            <w:pPr>
              <w:jc w:val="right"/>
              <w:ind w:right="472"/>
              <w:spacing w:after="0" w:line="92" w:lineRule="exact"/>
              <w:rPr>
                <w:sz w:val="20"/>
                <w:szCs w:val="20"/>
                <w:color w:val="auto"/>
              </w:rPr>
            </w:pPr>
            <w:r>
              <w:rPr>
                <w:rFonts w:ascii="Arial" w:cs="Arial" w:eastAsia="Arial" w:hAnsi="Arial"/>
                <w:sz w:val="10"/>
                <w:szCs w:val="10"/>
                <w:b w:val="1"/>
                <w:bCs w:val="1"/>
                <w:color w:val="auto"/>
              </w:rPr>
              <w:t>March 31,</w:t>
            </w:r>
          </w:p>
        </w:tc>
        <w:tc>
          <w:tcPr>
            <w:tcW w:w="0" w:type="dxa"/>
            <w:vAlign w:val="bottom"/>
          </w:tcPr>
          <w:p>
            <w:pPr>
              <w:spacing w:after="0"/>
              <w:rPr>
                <w:sz w:val="1"/>
                <w:szCs w:val="1"/>
                <w:color w:val="auto"/>
              </w:rPr>
            </w:pPr>
          </w:p>
        </w:tc>
      </w:tr>
      <w:tr>
        <w:trPr>
          <w:trHeight w:val="132"/>
        </w:trPr>
        <w:tc>
          <w:tcPr>
            <w:tcW w:w="6680" w:type="dxa"/>
            <w:vAlign w:val="bottom"/>
            <w:vMerge w:val="continue"/>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center"/>
              <w:ind w:right="112"/>
              <w:spacing w:after="0"/>
              <w:rPr>
                <w:sz w:val="20"/>
                <w:szCs w:val="20"/>
                <w:color w:val="auto"/>
              </w:rPr>
            </w:pPr>
            <w:r>
              <w:rPr>
                <w:rFonts w:ascii="Arial" w:cs="Arial" w:eastAsia="Arial" w:hAnsi="Arial"/>
                <w:sz w:val="10"/>
                <w:szCs w:val="10"/>
                <w:b w:val="1"/>
                <w:bCs w:val="1"/>
                <w:color w:val="auto"/>
                <w:w w:val="98"/>
              </w:rPr>
              <w:t>2025</w:t>
            </w: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43"/>
        </w:trPr>
        <w:tc>
          <w:tcPr>
            <w:tcW w:w="668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Numerator:</w:t>
            </w: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6680" w:type="dxa"/>
            <w:vAlign w:val="bottom"/>
          </w:tcPr>
          <w:p>
            <w:pPr>
              <w:ind w:left="60"/>
              <w:spacing w:after="0"/>
              <w:rPr>
                <w:sz w:val="20"/>
                <w:szCs w:val="20"/>
                <w:color w:val="auto"/>
              </w:rPr>
            </w:pPr>
            <w:r>
              <w:rPr>
                <w:rFonts w:ascii="Arial" w:cs="Arial" w:eastAsia="Arial" w:hAnsi="Arial"/>
                <w:sz w:val="10"/>
                <w:szCs w:val="10"/>
                <w:color w:val="auto"/>
              </w:rPr>
              <w:t>Net income</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0"/>
                <w:szCs w:val="10"/>
                <w:color w:val="auto"/>
              </w:rPr>
              <w:t>11,200</w:t>
            </w:r>
          </w:p>
        </w:tc>
        <w:tc>
          <w:tcPr>
            <w:tcW w:w="80" w:type="dxa"/>
            <w:vAlign w:val="bottom"/>
          </w:tcPr>
          <w:p>
            <w:pPr>
              <w:spacing w:after="0"/>
              <w:rPr>
                <w:sz w:val="11"/>
                <w:szCs w:val="11"/>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300" w:type="dxa"/>
            <w:vAlign w:val="bottom"/>
          </w:tcPr>
          <w:p>
            <w:pPr>
              <w:jc w:val="right"/>
              <w:spacing w:after="0"/>
              <w:rPr>
                <w:sz w:val="20"/>
                <w:szCs w:val="20"/>
                <w:color w:val="auto"/>
              </w:rPr>
            </w:pPr>
            <w:r>
              <w:rPr>
                <w:rFonts w:ascii="Arial" w:cs="Arial" w:eastAsia="Arial" w:hAnsi="Arial"/>
                <w:sz w:val="10"/>
                <w:szCs w:val="10"/>
                <w:color w:val="auto"/>
              </w:rPr>
              <w:t>18,938</w:t>
            </w:r>
          </w:p>
        </w:tc>
        <w:tc>
          <w:tcPr>
            <w:tcW w:w="100" w:type="dxa"/>
            <w:vAlign w:val="bottom"/>
          </w:tcPr>
          <w:p>
            <w:pPr>
              <w:spacing w:after="0"/>
              <w:rPr>
                <w:sz w:val="11"/>
                <w:szCs w:val="11"/>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19,075</w:t>
            </w:r>
          </w:p>
        </w:tc>
        <w:tc>
          <w:tcPr>
            <w:tcW w:w="0" w:type="dxa"/>
            <w:vAlign w:val="bottom"/>
          </w:tcPr>
          <w:p>
            <w:pPr>
              <w:spacing w:after="0"/>
              <w:rPr>
                <w:sz w:val="1"/>
                <w:szCs w:val="1"/>
                <w:color w:val="auto"/>
              </w:rPr>
            </w:pPr>
          </w:p>
        </w:tc>
      </w:tr>
      <w:tr>
        <w:trPr>
          <w:trHeight w:val="111"/>
        </w:trPr>
        <w:tc>
          <w:tcPr>
            <w:tcW w:w="66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6680" w:type="dxa"/>
            <w:vAlign w:val="bottom"/>
          </w:tcPr>
          <w:p>
            <w:pPr>
              <w:ind w:left="60"/>
              <w:spacing w:after="0"/>
              <w:rPr>
                <w:sz w:val="20"/>
                <w:szCs w:val="20"/>
                <w:color w:val="auto"/>
              </w:rPr>
            </w:pPr>
            <w:r>
              <w:rPr>
                <w:rFonts w:ascii="Arial" w:cs="Arial" w:eastAsia="Arial" w:hAnsi="Arial"/>
                <w:sz w:val="10"/>
                <w:szCs w:val="10"/>
                <w:color w:val="auto"/>
              </w:rPr>
              <w:t>Adjusted net income</w:t>
            </w: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rPr>
                <w:sz w:val="20"/>
                <w:szCs w:val="20"/>
                <w:color w:val="auto"/>
              </w:rPr>
            </w:pPr>
            <w:r>
              <w:rPr>
                <w:rFonts w:ascii="Arial" w:cs="Arial" w:eastAsia="Arial" w:hAnsi="Arial"/>
                <w:sz w:val="10"/>
                <w:szCs w:val="10"/>
                <w:color w:val="auto"/>
              </w:rPr>
              <w:t>22,610</w:t>
            </w:r>
          </w:p>
        </w:tc>
        <w:tc>
          <w:tcPr>
            <w:tcW w:w="80" w:type="dxa"/>
            <w:vAlign w:val="bottom"/>
          </w:tcPr>
          <w:p>
            <w:pPr>
              <w:spacing w:after="0"/>
              <w:rPr>
                <w:sz w:val="11"/>
                <w:szCs w:val="11"/>
                <w:color w:val="auto"/>
              </w:rPr>
            </w:pPr>
          </w:p>
        </w:tc>
        <w:tc>
          <w:tcPr>
            <w:tcW w:w="180" w:type="dxa"/>
            <w:vAlign w:val="bottom"/>
          </w:tcPr>
          <w:p>
            <w:pPr>
              <w:jc w:val="right"/>
              <w:ind w:right="52"/>
              <w:spacing w:after="0"/>
              <w:rPr>
                <w:sz w:val="20"/>
                <w:szCs w:val="20"/>
                <w:color w:val="auto"/>
              </w:rPr>
            </w:pPr>
            <w:r>
              <w:rPr>
                <w:rFonts w:ascii="Arial" w:cs="Arial" w:eastAsia="Arial" w:hAnsi="Arial"/>
                <w:sz w:val="10"/>
                <w:szCs w:val="10"/>
                <w:color w:val="auto"/>
              </w:rPr>
              <w:t>$</w:t>
            </w:r>
          </w:p>
        </w:tc>
        <w:tc>
          <w:tcPr>
            <w:tcW w:w="1300" w:type="dxa"/>
            <w:vAlign w:val="bottom"/>
          </w:tcPr>
          <w:p>
            <w:pPr>
              <w:jc w:val="right"/>
              <w:spacing w:after="0"/>
              <w:rPr>
                <w:sz w:val="20"/>
                <w:szCs w:val="20"/>
                <w:color w:val="auto"/>
              </w:rPr>
            </w:pPr>
            <w:r>
              <w:rPr>
                <w:rFonts w:ascii="Arial" w:cs="Arial" w:eastAsia="Arial" w:hAnsi="Arial"/>
                <w:sz w:val="10"/>
                <w:szCs w:val="10"/>
                <w:color w:val="auto"/>
              </w:rPr>
              <w:t>20,139</w:t>
            </w:r>
          </w:p>
        </w:tc>
        <w:tc>
          <w:tcPr>
            <w:tcW w:w="100" w:type="dxa"/>
            <w:vAlign w:val="bottom"/>
          </w:tcPr>
          <w:p>
            <w:pPr>
              <w:spacing w:after="0"/>
              <w:rPr>
                <w:sz w:val="11"/>
                <w:szCs w:val="11"/>
                <w:color w:val="auto"/>
              </w:rPr>
            </w:pPr>
          </w:p>
        </w:tc>
        <w:tc>
          <w:tcPr>
            <w:tcW w:w="280" w:type="dxa"/>
            <w:vAlign w:val="bottom"/>
          </w:tcPr>
          <w:p>
            <w:pPr>
              <w:jc w:val="right"/>
              <w:ind w:right="172"/>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0"/>
                <w:szCs w:val="10"/>
                <w:color w:val="auto"/>
              </w:rPr>
              <w:t>19,253</w:t>
            </w:r>
          </w:p>
        </w:tc>
        <w:tc>
          <w:tcPr>
            <w:tcW w:w="0" w:type="dxa"/>
            <w:vAlign w:val="bottom"/>
          </w:tcPr>
          <w:p>
            <w:pPr>
              <w:spacing w:after="0"/>
              <w:rPr>
                <w:sz w:val="1"/>
                <w:szCs w:val="1"/>
                <w:color w:val="auto"/>
              </w:rPr>
            </w:pPr>
          </w:p>
        </w:tc>
      </w:tr>
      <w:tr>
        <w:trPr>
          <w:trHeight w:val="111"/>
        </w:trPr>
        <w:tc>
          <w:tcPr>
            <w:tcW w:w="66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6680" w:type="dxa"/>
            <w:vAlign w:val="bottom"/>
          </w:tcPr>
          <w:p>
            <w:pPr>
              <w:spacing w:after="0"/>
              <w:rPr>
                <w:sz w:val="20"/>
                <w:szCs w:val="20"/>
                <w:color w:val="auto"/>
              </w:rPr>
            </w:pPr>
            <w:r>
              <w:rPr>
                <w:rFonts w:ascii="Arial" w:cs="Arial" w:eastAsia="Arial" w:hAnsi="Arial"/>
                <w:sz w:val="10"/>
                <w:szCs w:val="10"/>
                <w:b w:val="1"/>
                <w:bCs w:val="1"/>
                <w:color w:val="auto"/>
              </w:rPr>
              <w:t>Denominator:</w:t>
            </w: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680" w:type="dxa"/>
            <w:vAlign w:val="bottom"/>
            <w:shd w:val="clear" w:color="auto" w:fill="CCEEFF"/>
          </w:tcPr>
          <w:p>
            <w:pPr>
              <w:ind w:left="60"/>
              <w:spacing w:after="0"/>
              <w:rPr>
                <w:sz w:val="20"/>
                <w:szCs w:val="20"/>
                <w:color w:val="auto"/>
              </w:rPr>
            </w:pPr>
            <w:r>
              <w:rPr>
                <w:rFonts w:ascii="Arial" w:cs="Arial" w:eastAsia="Arial" w:hAnsi="Arial"/>
                <w:sz w:val="10"/>
                <w:szCs w:val="10"/>
                <w:color w:val="auto"/>
              </w:rPr>
              <w:t>Weighted average common shares outstanding</w:t>
            </w:r>
          </w:p>
        </w:tc>
        <w:tc>
          <w:tcPr>
            <w:tcW w:w="30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33,180,009</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31,434,409</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31,584,989</w:t>
            </w:r>
          </w:p>
        </w:tc>
        <w:tc>
          <w:tcPr>
            <w:tcW w:w="0" w:type="dxa"/>
            <w:vAlign w:val="bottom"/>
          </w:tcPr>
          <w:p>
            <w:pPr>
              <w:spacing w:after="0"/>
              <w:rPr>
                <w:sz w:val="1"/>
                <w:szCs w:val="1"/>
                <w:color w:val="auto"/>
              </w:rPr>
            </w:pPr>
          </w:p>
        </w:tc>
      </w:tr>
      <w:tr>
        <w:trPr>
          <w:trHeight w:val="132"/>
        </w:trPr>
        <w:tc>
          <w:tcPr>
            <w:tcW w:w="668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Dilutive effect of outstanding restricted stock units</w:t>
            </w: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120,087</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124,596</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126,682</w:t>
            </w:r>
          </w:p>
        </w:tc>
        <w:tc>
          <w:tcPr>
            <w:tcW w:w="0" w:type="dxa"/>
            <w:vAlign w:val="bottom"/>
          </w:tcPr>
          <w:p>
            <w:pPr>
              <w:spacing w:after="0"/>
              <w:rPr>
                <w:sz w:val="1"/>
                <w:szCs w:val="1"/>
                <w:color w:val="auto"/>
              </w:rPr>
            </w:pPr>
          </w:p>
        </w:tc>
      </w:tr>
      <w:tr>
        <w:trPr>
          <w:trHeight w:val="143"/>
        </w:trPr>
        <w:tc>
          <w:tcPr>
            <w:tcW w:w="66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0"/>
                <w:szCs w:val="10"/>
                <w:color w:val="auto"/>
              </w:rPr>
              <w:t>Weighted average common shares outstanding, including all dilutive potential shares</w:t>
            </w:r>
          </w:p>
        </w:tc>
        <w:tc>
          <w:tcPr>
            <w:tcW w:w="30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33,300,096</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31,559,005</w:t>
            </w:r>
          </w:p>
        </w:tc>
        <w:tc>
          <w:tcPr>
            <w:tcW w:w="1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31,711,671</w:t>
            </w:r>
          </w:p>
        </w:tc>
        <w:tc>
          <w:tcPr>
            <w:tcW w:w="0" w:type="dxa"/>
            <w:vAlign w:val="bottom"/>
          </w:tcPr>
          <w:p>
            <w:pPr>
              <w:spacing w:after="0"/>
              <w:rPr>
                <w:sz w:val="1"/>
                <w:szCs w:val="1"/>
                <w:color w:val="auto"/>
              </w:rPr>
            </w:pPr>
          </w:p>
        </w:tc>
      </w:tr>
      <w:tr>
        <w:trPr>
          <w:trHeight w:val="90"/>
        </w:trPr>
        <w:tc>
          <w:tcPr>
            <w:tcW w:w="6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Earnings per share - basic</w:t>
            </w: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0.34</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0.60</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0.60</w:t>
            </w:r>
          </w:p>
        </w:tc>
        <w:tc>
          <w:tcPr>
            <w:tcW w:w="0" w:type="dxa"/>
            <w:vAlign w:val="bottom"/>
          </w:tcPr>
          <w:p>
            <w:pPr>
              <w:spacing w:after="0"/>
              <w:rPr>
                <w:sz w:val="1"/>
                <w:szCs w:val="1"/>
                <w:color w:val="auto"/>
              </w:rPr>
            </w:pPr>
          </w:p>
        </w:tc>
      </w:tr>
      <w:tr>
        <w:trPr>
          <w:trHeight w:val="151"/>
        </w:trPr>
        <w:tc>
          <w:tcPr>
            <w:tcW w:w="668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Earnings per share - diluted</w:t>
            </w: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0.34</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0.60</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0.60</w:t>
            </w:r>
          </w:p>
        </w:tc>
        <w:tc>
          <w:tcPr>
            <w:tcW w:w="0" w:type="dxa"/>
            <w:vAlign w:val="bottom"/>
          </w:tcPr>
          <w:p>
            <w:pPr>
              <w:spacing w:after="0"/>
              <w:rPr>
                <w:sz w:val="1"/>
                <w:szCs w:val="1"/>
                <w:color w:val="auto"/>
              </w:rPr>
            </w:pPr>
          </w:p>
        </w:tc>
      </w:tr>
      <w:tr>
        <w:trPr>
          <w:trHeight w:val="90"/>
        </w:trPr>
        <w:tc>
          <w:tcPr>
            <w:tcW w:w="66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1"/>
        </w:trPr>
        <w:tc>
          <w:tcPr>
            <w:tcW w:w="6680" w:type="dxa"/>
            <w:vAlign w:val="bottom"/>
            <w:tcBorders>
              <w:bottom w:val="single" w:sz="8" w:color="CCEEFF"/>
            </w:tcBorders>
          </w:tcPr>
          <w:p>
            <w:pPr>
              <w:spacing w:after="0"/>
              <w:rPr>
                <w:sz w:val="20"/>
                <w:szCs w:val="20"/>
                <w:color w:val="auto"/>
              </w:rPr>
            </w:pPr>
            <w:r>
              <w:rPr>
                <w:rFonts w:ascii="Arial" w:cs="Arial" w:eastAsia="Arial" w:hAnsi="Arial"/>
                <w:sz w:val="10"/>
                <w:szCs w:val="10"/>
                <w:b w:val="1"/>
                <w:bCs w:val="1"/>
                <w:color w:val="auto"/>
              </w:rPr>
              <w:t>Adjusted earnings per share - basic</w:t>
            </w: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0.68</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0.64</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jc w:val="right"/>
              <w:ind w:right="17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0.61</w:t>
            </w:r>
          </w:p>
        </w:tc>
        <w:tc>
          <w:tcPr>
            <w:tcW w:w="0" w:type="dxa"/>
            <w:vAlign w:val="bottom"/>
          </w:tcPr>
          <w:p>
            <w:pPr>
              <w:spacing w:after="0"/>
              <w:rPr>
                <w:sz w:val="1"/>
                <w:szCs w:val="1"/>
                <w:color w:val="auto"/>
              </w:rPr>
            </w:pPr>
          </w:p>
        </w:tc>
      </w:tr>
      <w:tr>
        <w:trPr>
          <w:trHeight w:val="151"/>
        </w:trPr>
        <w:tc>
          <w:tcPr>
            <w:tcW w:w="6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rPr>
              <w:t>Adjusted earnings per share - diluted</w:t>
            </w: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0.68</w:t>
            </w:r>
          </w:p>
        </w:tc>
        <w:tc>
          <w:tcPr>
            <w:tcW w:w="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0.64</w:t>
            </w: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0"/>
                <w:szCs w:val="10"/>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0.61</w:t>
            </w:r>
          </w:p>
        </w:tc>
        <w:tc>
          <w:tcPr>
            <w:tcW w:w="0" w:type="dxa"/>
            <w:vAlign w:val="bottom"/>
          </w:tcPr>
          <w:p>
            <w:pPr>
              <w:spacing w:after="0"/>
              <w:rPr>
                <w:sz w:val="1"/>
                <w:szCs w:val="1"/>
                <w:color w:val="auto"/>
              </w:rPr>
            </w:pPr>
          </w:p>
        </w:tc>
      </w:tr>
    </w:tbl>
    <w:p>
      <w:pPr>
        <w:sectPr>
          <w:pgSz w:w="11900" w:h="16838" w:orient="portrait"/>
          <w:cols w:equalWidth="0" w:num="1">
            <w:col w:w="11308"/>
          </w:cols>
          <w:pgMar w:left="292" w:top="135" w:right="299" w:bottom="1440" w:gutter="0" w:footer="0" w:header="0"/>
        </w:sectPr>
      </w:pPr>
    </w:p>
    <w:bookmarkStart w:id="16" w:name="page17"/>
    <w:bookmarkEnd w:id="16"/>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14</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Reconciliation of Non-GAAP Financial Measures –</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Pre-Provision Net Revenue, Pre-Provision Net Revenue Less Net Charge-offs (Recoveries),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Adjusted Pre-Provision Net Revenue, and Adjusted Pre-Provision Net Revenue Less Net Charge-offs (Recoveries)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 w:type="dxa"/>
            <w:vAlign w:val="bottom"/>
            <w:tcBorders>
              <w:top w:val="single" w:sz="8" w:color="auto"/>
            </w:tcBorders>
          </w:tcPr>
          <w:p>
            <w:pPr>
              <w:spacing w:after="0"/>
              <w:rPr>
                <w:sz w:val="10"/>
                <w:szCs w:val="10"/>
                <w:color w:val="auto"/>
              </w:rPr>
            </w:pPr>
          </w:p>
        </w:tc>
        <w:tc>
          <w:tcPr>
            <w:tcW w:w="3080" w:type="dxa"/>
            <w:vAlign w:val="bottom"/>
            <w:tcBorders>
              <w:top w:val="single" w:sz="8" w:color="auto"/>
            </w:tcBorders>
          </w:tcPr>
          <w:p>
            <w:pPr>
              <w:spacing w:after="0"/>
              <w:rPr>
                <w:sz w:val="10"/>
                <w:szCs w:val="10"/>
                <w:color w:val="auto"/>
              </w:rPr>
            </w:pPr>
          </w:p>
        </w:tc>
        <w:tc>
          <w:tcPr>
            <w:tcW w:w="33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11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1360" w:type="dxa"/>
            <w:vAlign w:val="bottom"/>
            <w:tcBorders>
              <w:top w:val="single" w:sz="8" w:color="auto"/>
              <w:bottom w:val="single" w:sz="8" w:color="auto"/>
            </w:tcBorders>
            <w:gridSpan w:val="2"/>
          </w:tcPr>
          <w:p>
            <w:pPr>
              <w:jc w:val="center"/>
              <w:ind w:right="100"/>
              <w:spacing w:after="0"/>
              <w:rPr>
                <w:sz w:val="20"/>
                <w:szCs w:val="20"/>
                <w:color w:val="auto"/>
              </w:rPr>
            </w:pPr>
            <w:r>
              <w:rPr>
                <w:rFonts w:ascii="Arial" w:cs="Arial" w:eastAsia="Arial" w:hAnsi="Arial"/>
                <w:sz w:val="10"/>
                <w:szCs w:val="10"/>
                <w:b w:val="1"/>
                <w:bCs w:val="1"/>
                <w:color w:val="auto"/>
                <w:w w:val="94"/>
              </w:rPr>
              <w:t>Three Months Ended</w:t>
            </w:r>
          </w:p>
        </w:tc>
        <w:tc>
          <w:tcPr>
            <w:tcW w:w="20" w:type="dxa"/>
            <w:vAlign w:val="bottom"/>
            <w:tcBorders>
              <w:top w:val="single" w:sz="8" w:color="auto"/>
              <w:bottom w:val="single" w:sz="8" w:color="auto"/>
            </w:tcBorders>
          </w:tcPr>
          <w:p>
            <w:pPr>
              <w:spacing w:after="0"/>
              <w:rPr>
                <w:sz w:val="10"/>
                <w:szCs w:val="10"/>
                <w:color w:val="auto"/>
              </w:rPr>
            </w:pPr>
          </w:p>
        </w:tc>
        <w:tc>
          <w:tcPr>
            <w:tcW w:w="80" w:type="dxa"/>
            <w:vAlign w:val="bottom"/>
            <w:tcBorders>
              <w:top w:val="single" w:sz="8" w:color="auto"/>
              <w:bottom w:val="single" w:sz="8" w:color="auto"/>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122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120" w:type="dxa"/>
            <w:vAlign w:val="bottom"/>
            <w:gridSpan w:val="2"/>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3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gridSpan w:val="2"/>
          </w:tcPr>
          <w:p>
            <w:pPr>
              <w:jc w:val="right"/>
              <w:ind w:right="480"/>
              <w:spacing w:after="0" w:line="91" w:lineRule="exact"/>
              <w:rPr>
                <w:sz w:val="20"/>
                <w:szCs w:val="20"/>
                <w:color w:val="auto"/>
              </w:rPr>
            </w:pPr>
            <w:r>
              <w:rPr>
                <w:rFonts w:ascii="Arial" w:cs="Arial" w:eastAsia="Arial" w:hAnsi="Arial"/>
                <w:sz w:val="10"/>
                <w:szCs w:val="10"/>
                <w:b w:val="1"/>
                <w:bCs w:val="1"/>
                <w:color w:val="auto"/>
              </w:rPr>
              <w:t>March 31,</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tcPr>
          <w:p>
            <w:pPr>
              <w:jc w:val="center"/>
              <w:ind w:right="100"/>
              <w:spacing w:after="0" w:line="91" w:lineRule="exact"/>
              <w:rPr>
                <w:sz w:val="20"/>
                <w:szCs w:val="20"/>
                <w:color w:val="auto"/>
              </w:rPr>
            </w:pPr>
            <w:r>
              <w:rPr>
                <w:rFonts w:ascii="Arial" w:cs="Arial" w:eastAsia="Arial" w:hAnsi="Arial"/>
                <w:sz w:val="10"/>
                <w:szCs w:val="10"/>
                <w:b w:val="1"/>
                <w:bCs w:val="1"/>
                <w:color w:val="auto"/>
                <w:w w:val="95"/>
              </w:rPr>
              <w:t>December 31,</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jc w:val="right"/>
              <w:ind w:right="472"/>
              <w:spacing w:after="0" w:line="91" w:lineRule="exact"/>
              <w:rPr>
                <w:sz w:val="20"/>
                <w:szCs w:val="20"/>
                <w:color w:val="auto"/>
              </w:rPr>
            </w:pPr>
            <w:r>
              <w:rPr>
                <w:rFonts w:ascii="Arial" w:cs="Arial" w:eastAsia="Arial" w:hAnsi="Arial"/>
                <w:sz w:val="10"/>
                <w:szCs w:val="10"/>
                <w:b w:val="1"/>
                <w:bCs w:val="1"/>
                <w:color w:val="auto"/>
              </w:rPr>
              <w:t>March 31,</w:t>
            </w:r>
          </w:p>
        </w:tc>
        <w:tc>
          <w:tcPr>
            <w:tcW w:w="0" w:type="dxa"/>
            <w:vAlign w:val="bottom"/>
          </w:tcPr>
          <w:p>
            <w:pPr>
              <w:spacing w:after="0"/>
              <w:rPr>
                <w:sz w:val="1"/>
                <w:szCs w:val="1"/>
                <w:color w:val="auto"/>
              </w:rPr>
            </w:pPr>
          </w:p>
        </w:tc>
      </w:tr>
      <w:tr>
        <w:trPr>
          <w:trHeight w:val="132"/>
        </w:trPr>
        <w:tc>
          <w:tcPr>
            <w:tcW w:w="3120" w:type="dxa"/>
            <w:vAlign w:val="bottom"/>
            <w:gridSpan w:val="2"/>
            <w:vMerge w:val="continue"/>
          </w:tcPr>
          <w:p>
            <w:pPr>
              <w:spacing w:after="0"/>
              <w:rPr>
                <w:sz w:val="11"/>
                <w:szCs w:val="11"/>
                <w:color w:val="auto"/>
              </w:rPr>
            </w:pPr>
          </w:p>
        </w:tc>
        <w:tc>
          <w:tcPr>
            <w:tcW w:w="3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0"/>
                <w:szCs w:val="10"/>
                <w:b w:val="1"/>
                <w:bCs w:val="1"/>
                <w:color w:val="auto"/>
              </w:rPr>
              <w:t>2026</w:t>
            </w: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2025</w:t>
            </w:r>
          </w:p>
        </w:tc>
        <w:tc>
          <w:tcPr>
            <w:tcW w:w="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43"/>
        </w:trPr>
        <w:tc>
          <w:tcPr>
            <w:tcW w:w="31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Net interest income</w:t>
            </w:r>
          </w:p>
        </w:tc>
        <w:tc>
          <w:tcPr>
            <w:tcW w:w="3800" w:type="dxa"/>
            <w:vAlign w:val="bottom"/>
            <w:gridSpan w:val="3"/>
            <w:shd w:val="clear" w:color="auto" w:fill="CCEEFF"/>
          </w:tcPr>
          <w:p>
            <w:pPr>
              <w:jc w:val="right"/>
              <w:ind w:right="180"/>
              <w:spacing w:after="0"/>
              <w:rPr>
                <w:sz w:val="20"/>
                <w:szCs w:val="20"/>
                <w:color w:val="auto"/>
              </w:rPr>
            </w:pPr>
            <w:r>
              <w:rPr>
                <w:rFonts w:ascii="Arial" w:cs="Arial" w:eastAsia="Arial" w:hAnsi="Arial"/>
                <w:sz w:val="10"/>
                <w:szCs w:val="10"/>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56,387</w:t>
            </w: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50,543</w:t>
            </w:r>
          </w:p>
        </w:tc>
        <w:tc>
          <w:tcPr>
            <w:tcW w:w="360" w:type="dxa"/>
            <w:vAlign w:val="bottom"/>
            <w:gridSpan w:val="3"/>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48,708</w:t>
            </w:r>
          </w:p>
        </w:tc>
        <w:tc>
          <w:tcPr>
            <w:tcW w:w="0" w:type="dxa"/>
            <w:vAlign w:val="bottom"/>
          </w:tcPr>
          <w:p>
            <w:pPr>
              <w:spacing w:after="0"/>
              <w:rPr>
                <w:sz w:val="1"/>
                <w:szCs w:val="1"/>
                <w:color w:val="auto"/>
              </w:rPr>
            </w:pPr>
          </w:p>
        </w:tc>
      </w:tr>
      <w:tr>
        <w:trPr>
          <w:trHeight w:val="132"/>
        </w:trPr>
        <w:tc>
          <w:tcPr>
            <w:tcW w:w="3120" w:type="dxa"/>
            <w:vAlign w:val="bottom"/>
            <w:gridSpan w:val="2"/>
          </w:tcPr>
          <w:p>
            <w:pPr>
              <w:spacing w:after="0"/>
              <w:rPr>
                <w:sz w:val="20"/>
                <w:szCs w:val="20"/>
                <w:color w:val="auto"/>
              </w:rPr>
            </w:pPr>
            <w:r>
              <w:rPr>
                <w:rFonts w:ascii="Arial" w:cs="Arial" w:eastAsia="Arial" w:hAnsi="Arial"/>
                <w:sz w:val="10"/>
                <w:szCs w:val="10"/>
                <w:color w:val="auto"/>
              </w:rPr>
              <w:t>Noninterest income</w:t>
            </w:r>
          </w:p>
        </w:tc>
        <w:tc>
          <w:tcPr>
            <w:tcW w:w="3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10,944</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0"/>
                <w:szCs w:val="10"/>
                <w:color w:val="auto"/>
              </w:rPr>
              <w:t>9,895</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9,306</w:t>
            </w:r>
          </w:p>
        </w:tc>
        <w:tc>
          <w:tcPr>
            <w:tcW w:w="0" w:type="dxa"/>
            <w:vAlign w:val="bottom"/>
          </w:tcPr>
          <w:p>
            <w:pPr>
              <w:spacing w:after="0"/>
              <w:rPr>
                <w:sz w:val="1"/>
                <w:szCs w:val="1"/>
                <w:color w:val="auto"/>
              </w:rPr>
            </w:pPr>
          </w:p>
        </w:tc>
      </w:tr>
      <w:tr>
        <w:trPr>
          <w:trHeight w:val="138"/>
        </w:trPr>
        <w:tc>
          <w:tcPr>
            <w:tcW w:w="31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Noninterest expense</w:t>
            </w:r>
          </w:p>
        </w:tc>
        <w:tc>
          <w:tcPr>
            <w:tcW w:w="3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0"/>
                <w:szCs w:val="10"/>
                <w:color w:val="auto"/>
              </w:rPr>
              <w:t>(52,437)</w:t>
            </w: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rPr>
              <w:t>(33,061)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(31,935)</w:t>
            </w: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080" w:type="dxa"/>
            <w:vAlign w:val="bottom"/>
          </w:tcPr>
          <w:p>
            <w:pPr>
              <w:ind w:left="40"/>
              <w:spacing w:after="0"/>
              <w:rPr>
                <w:sz w:val="20"/>
                <w:szCs w:val="20"/>
                <w:color w:val="auto"/>
              </w:rPr>
            </w:pPr>
            <w:r>
              <w:rPr>
                <w:rFonts w:ascii="Arial" w:cs="Arial" w:eastAsia="Arial" w:hAnsi="Arial"/>
                <w:sz w:val="10"/>
                <w:szCs w:val="10"/>
                <w:b w:val="1"/>
                <w:bCs w:val="1"/>
                <w:color w:val="auto"/>
              </w:rPr>
              <w:t>Pre-provision net revenue</w:t>
            </w:r>
          </w:p>
        </w:tc>
        <w:tc>
          <w:tcPr>
            <w:tcW w:w="3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14,894</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0"/>
                <w:szCs w:val="10"/>
                <w:color w:val="auto"/>
              </w:rPr>
              <w:t>27,377</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26,079</w:t>
            </w:r>
          </w:p>
        </w:tc>
        <w:tc>
          <w:tcPr>
            <w:tcW w:w="0" w:type="dxa"/>
            <w:vAlign w:val="bottom"/>
          </w:tcPr>
          <w:p>
            <w:pPr>
              <w:spacing w:after="0"/>
              <w:rPr>
                <w:sz w:val="1"/>
                <w:szCs w:val="1"/>
                <w:color w:val="auto"/>
              </w:rPr>
            </w:pPr>
          </w:p>
        </w:tc>
      </w:tr>
      <w:tr>
        <w:trPr>
          <w:trHeight w:val="136"/>
        </w:trPr>
        <w:tc>
          <w:tcPr>
            <w:tcW w:w="31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Less: adjustments</w:t>
            </w:r>
          </w:p>
        </w:tc>
        <w:tc>
          <w:tcPr>
            <w:tcW w:w="3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3080" w:type="dxa"/>
            <w:vAlign w:val="bottom"/>
          </w:tcPr>
          <w:p>
            <w:pPr>
              <w:ind w:left="60"/>
              <w:spacing w:after="0"/>
              <w:rPr>
                <w:sz w:val="20"/>
                <w:szCs w:val="20"/>
                <w:color w:val="auto"/>
              </w:rPr>
            </w:pPr>
            <w:r>
              <w:rPr>
                <w:rFonts w:ascii="Arial" w:cs="Arial" w:eastAsia="Arial" w:hAnsi="Arial"/>
                <w:sz w:val="10"/>
                <w:szCs w:val="10"/>
                <w:color w:val="auto"/>
              </w:rPr>
              <w:t>Acquisition expenses</w:t>
            </w:r>
          </w:p>
        </w:tc>
        <w:tc>
          <w:tcPr>
            <w:tcW w:w="3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3"/>
          </w:tcPr>
          <w:p>
            <w:pPr>
              <w:jc w:val="right"/>
              <w:spacing w:after="0"/>
              <w:rPr>
                <w:sz w:val="20"/>
                <w:szCs w:val="20"/>
                <w:color w:val="auto"/>
              </w:rPr>
            </w:pPr>
            <w:r>
              <w:rPr>
                <w:rFonts w:ascii="Arial" w:cs="Arial" w:eastAsia="Arial" w:hAnsi="Arial"/>
                <w:sz w:val="10"/>
                <w:szCs w:val="10"/>
                <w:color w:val="auto"/>
              </w:rPr>
              <w:t>(15,666)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spacing w:after="0"/>
              <w:rPr>
                <w:sz w:val="20"/>
                <w:szCs w:val="20"/>
                <w:color w:val="auto"/>
              </w:rPr>
            </w:pPr>
            <w:r>
              <w:rPr>
                <w:rFonts w:ascii="Arial" w:cs="Arial" w:eastAsia="Arial" w:hAnsi="Arial"/>
                <w:sz w:val="10"/>
                <w:szCs w:val="10"/>
                <w:color w:val="auto"/>
              </w:rPr>
              <w:t>(999)</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40" w:type="dxa"/>
            <w:vAlign w:val="bottom"/>
            <w:shd w:val="clear" w:color="auto" w:fill="CCEEFF"/>
          </w:tcPr>
          <w:p>
            <w:pPr>
              <w:spacing w:after="0"/>
              <w:rPr>
                <w:sz w:val="12"/>
                <w:szCs w:val="12"/>
                <w:color w:val="auto"/>
              </w:rPr>
            </w:pPr>
          </w:p>
        </w:tc>
        <w:tc>
          <w:tcPr>
            <w:tcW w:w="3080" w:type="dxa"/>
            <w:vAlign w:val="bottom"/>
            <w:shd w:val="clear" w:color="auto" w:fill="CCEEFF"/>
          </w:tcPr>
          <w:p>
            <w:pPr>
              <w:ind w:left="60"/>
              <w:spacing w:after="0"/>
              <w:rPr>
                <w:sz w:val="20"/>
                <w:szCs w:val="20"/>
                <w:color w:val="auto"/>
              </w:rPr>
            </w:pPr>
            <w:r>
              <w:rPr>
                <w:rFonts w:ascii="Arial" w:cs="Arial" w:eastAsia="Arial" w:hAnsi="Arial"/>
                <w:sz w:val="10"/>
                <w:szCs w:val="10"/>
                <w:color w:val="auto"/>
              </w:rPr>
              <w:t>Net earnings (losses) on closed or sold operations</w:t>
            </w:r>
          </w:p>
        </w:tc>
        <w:tc>
          <w:tcPr>
            <w:tcW w:w="3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3080" w:type="dxa"/>
            <w:vAlign w:val="bottom"/>
          </w:tcPr>
          <w:p>
            <w:pPr>
              <w:ind w:left="60"/>
              <w:spacing w:after="0"/>
              <w:rPr>
                <w:sz w:val="20"/>
                <w:szCs w:val="20"/>
                <w:color w:val="auto"/>
              </w:rPr>
            </w:pPr>
            <w:r>
              <w:rPr>
                <w:rFonts w:ascii="Arial" w:cs="Arial" w:eastAsia="Arial" w:hAnsi="Arial"/>
                <w:sz w:val="10"/>
                <w:szCs w:val="10"/>
                <w:color w:val="auto"/>
              </w:rPr>
              <w:t>Gains (losses) on closed branch premises</w:t>
            </w:r>
          </w:p>
        </w:tc>
        <w:tc>
          <w:tcPr>
            <w:tcW w:w="3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3"/>
          </w:tcPr>
          <w:p>
            <w:pPr>
              <w:jc w:val="right"/>
              <w:spacing w:after="0"/>
              <w:rPr>
                <w:sz w:val="20"/>
                <w:szCs w:val="20"/>
                <w:color w:val="auto"/>
              </w:rPr>
            </w:pPr>
            <w:r>
              <w:rPr>
                <w:rFonts w:ascii="Arial" w:cs="Arial" w:eastAsia="Arial" w:hAnsi="Arial"/>
                <w:sz w:val="10"/>
                <w:szCs w:val="10"/>
                <w:color w:val="auto"/>
              </w:rPr>
              <w:t>(210)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spacing w:after="0"/>
              <w:rPr>
                <w:sz w:val="20"/>
                <w:szCs w:val="20"/>
                <w:color w:val="auto"/>
              </w:rPr>
            </w:pPr>
            <w:r>
              <w:rPr>
                <w:rFonts w:ascii="Arial" w:cs="Arial" w:eastAsia="Arial" w:hAnsi="Arial"/>
                <w:sz w:val="10"/>
                <w:szCs w:val="10"/>
                <w:color w:val="auto"/>
              </w:rPr>
              <w:t>59</w:t>
            </w:r>
          </w:p>
        </w:tc>
        <w:tc>
          <w:tcPr>
            <w:tcW w:w="0" w:type="dxa"/>
            <w:vAlign w:val="bottom"/>
          </w:tcPr>
          <w:p>
            <w:pPr>
              <w:spacing w:after="0"/>
              <w:rPr>
                <w:sz w:val="1"/>
                <w:szCs w:val="1"/>
                <w:color w:val="auto"/>
              </w:rPr>
            </w:pPr>
          </w:p>
        </w:tc>
      </w:tr>
      <w:tr>
        <w:trPr>
          <w:trHeight w:val="138"/>
        </w:trPr>
        <w:tc>
          <w:tcPr>
            <w:tcW w:w="40" w:type="dxa"/>
            <w:vAlign w:val="bottom"/>
            <w:shd w:val="clear" w:color="auto" w:fill="CCEEFF"/>
          </w:tcPr>
          <w:p>
            <w:pPr>
              <w:spacing w:after="0"/>
              <w:rPr>
                <w:sz w:val="12"/>
                <w:szCs w:val="12"/>
                <w:color w:val="auto"/>
              </w:rPr>
            </w:pPr>
          </w:p>
        </w:tc>
        <w:tc>
          <w:tcPr>
            <w:tcW w:w="3080" w:type="dxa"/>
            <w:vAlign w:val="bottom"/>
            <w:shd w:val="clear" w:color="auto" w:fill="CCEEFF"/>
          </w:tcPr>
          <w:p>
            <w:pPr>
              <w:ind w:left="60"/>
              <w:spacing w:after="0"/>
              <w:rPr>
                <w:sz w:val="20"/>
                <w:szCs w:val="20"/>
                <w:color w:val="auto"/>
              </w:rPr>
            </w:pPr>
            <w:r>
              <w:rPr>
                <w:rFonts w:ascii="Arial" w:cs="Arial" w:eastAsia="Arial" w:hAnsi="Arial"/>
                <w:sz w:val="10"/>
                <w:szCs w:val="10"/>
                <w:color w:val="auto"/>
              </w:rPr>
              <w:t>Realized gains (losses) on sales of securities</w:t>
            </w:r>
          </w:p>
        </w:tc>
        <w:tc>
          <w:tcPr>
            <w:tcW w:w="3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(151)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40" w:type="dxa"/>
            <w:vAlign w:val="bottom"/>
            <w:tcBorders>
              <w:bottom w:val="single" w:sz="8" w:color="CCEEFF"/>
            </w:tcBorders>
          </w:tcPr>
          <w:p>
            <w:pPr>
              <w:spacing w:after="0"/>
              <w:rPr>
                <w:sz w:val="11"/>
                <w:szCs w:val="11"/>
                <w:color w:val="auto"/>
              </w:rPr>
            </w:pPr>
          </w:p>
        </w:tc>
        <w:tc>
          <w:tcPr>
            <w:tcW w:w="308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Mortgage servicing rights fair value adjustment</w:t>
            </w:r>
          </w:p>
        </w:tc>
        <w:tc>
          <w:tcPr>
            <w:tcW w:w="33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197</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rPr>
              <w:t>(310)</w:t>
            </w: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(308)</w:t>
            </w:r>
          </w:p>
        </w:tc>
        <w:tc>
          <w:tcPr>
            <w:tcW w:w="0" w:type="dxa"/>
            <w:vAlign w:val="bottom"/>
          </w:tcPr>
          <w:p>
            <w:pPr>
              <w:spacing w:after="0"/>
              <w:rPr>
                <w:sz w:val="1"/>
                <w:szCs w:val="1"/>
                <w:color w:val="auto"/>
              </w:rPr>
            </w:pPr>
          </w:p>
        </w:tc>
      </w:tr>
      <w:tr>
        <w:trPr>
          <w:trHeight w:val="124"/>
        </w:trPr>
        <w:tc>
          <w:tcPr>
            <w:tcW w:w="40" w:type="dxa"/>
            <w:vAlign w:val="bottom"/>
            <w:shd w:val="clear" w:color="auto" w:fill="CCEEFF"/>
          </w:tcPr>
          <w:p>
            <w:pPr>
              <w:spacing w:after="0"/>
              <w:rPr>
                <w:sz w:val="10"/>
                <w:szCs w:val="10"/>
                <w:color w:val="auto"/>
              </w:rPr>
            </w:pPr>
          </w:p>
        </w:tc>
        <w:tc>
          <w:tcPr>
            <w:tcW w:w="3080" w:type="dxa"/>
            <w:vAlign w:val="bottom"/>
            <w:shd w:val="clear" w:color="auto" w:fill="CCEEFF"/>
          </w:tcPr>
          <w:p>
            <w:pPr>
              <w:ind w:left="120"/>
              <w:spacing w:after="0"/>
              <w:rPr>
                <w:sz w:val="20"/>
                <w:szCs w:val="20"/>
                <w:color w:val="auto"/>
              </w:rPr>
            </w:pPr>
            <w:r>
              <w:rPr>
                <w:rFonts w:ascii="Arial" w:cs="Arial" w:eastAsia="Arial" w:hAnsi="Arial"/>
                <w:sz w:val="10"/>
                <w:szCs w:val="10"/>
                <w:color w:val="auto"/>
              </w:rPr>
              <w:t>Total adjustments</w:t>
            </w:r>
          </w:p>
        </w:tc>
        <w:tc>
          <w:tcPr>
            <w:tcW w:w="3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0"/>
                <w:szCs w:val="10"/>
                <w:color w:val="auto"/>
              </w:rPr>
              <w:t>(15,675)</w:t>
            </w:r>
          </w:p>
        </w:tc>
        <w:tc>
          <w:tcPr>
            <w:tcW w:w="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rPr>
              <w:t>(1,460)</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(249)</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80" w:type="dxa"/>
            <w:vAlign w:val="bottom"/>
          </w:tcPr>
          <w:p>
            <w:pPr>
              <w:ind w:left="40"/>
              <w:spacing w:after="0"/>
              <w:rPr>
                <w:sz w:val="20"/>
                <w:szCs w:val="20"/>
                <w:color w:val="auto"/>
              </w:rPr>
            </w:pPr>
            <w:r>
              <w:rPr>
                <w:rFonts w:ascii="Arial" w:cs="Arial" w:eastAsia="Arial" w:hAnsi="Arial"/>
                <w:sz w:val="10"/>
                <w:szCs w:val="10"/>
                <w:b w:val="1"/>
                <w:bCs w:val="1"/>
                <w:color w:val="auto"/>
              </w:rPr>
              <w:t>Adjusted pre-provision net revenue</w:t>
            </w:r>
          </w:p>
        </w:tc>
        <w:tc>
          <w:tcPr>
            <w:tcW w:w="380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30,569</w:t>
            </w:r>
          </w:p>
        </w:tc>
        <w:tc>
          <w:tcPr>
            <w:tcW w:w="240" w:type="dxa"/>
            <w:vAlign w:val="bottom"/>
            <w:gridSpan w:val="3"/>
          </w:tcPr>
          <w:p>
            <w:pPr>
              <w:jc w:val="right"/>
              <w:ind w:right="40"/>
              <w:spacing w:after="0"/>
              <w:rPr>
                <w:sz w:val="20"/>
                <w:szCs w:val="20"/>
                <w:color w:val="auto"/>
              </w:rPr>
            </w:pPr>
            <w:r>
              <w:rPr>
                <w:rFonts w:ascii="Arial" w:cs="Arial" w:eastAsia="Arial" w:hAnsi="Arial"/>
                <w:sz w:val="10"/>
                <w:szCs w:val="10"/>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0"/>
                <w:szCs w:val="10"/>
                <w:color w:val="auto"/>
              </w:rPr>
              <w:t>28,837</w:t>
            </w:r>
          </w:p>
        </w:tc>
        <w:tc>
          <w:tcPr>
            <w:tcW w:w="360" w:type="dxa"/>
            <w:vAlign w:val="bottom"/>
            <w:gridSpan w:val="3"/>
          </w:tcPr>
          <w:p>
            <w:pPr>
              <w:jc w:val="right"/>
              <w:ind w:right="200"/>
              <w:spacing w:after="0"/>
              <w:rPr>
                <w:sz w:val="20"/>
                <w:szCs w:val="20"/>
                <w:color w:val="auto"/>
              </w:rPr>
            </w:pPr>
            <w:r>
              <w:rPr>
                <w:rFonts w:ascii="Arial" w:cs="Arial" w:eastAsia="Arial" w:hAnsi="Arial"/>
                <w:sz w:val="10"/>
                <w:szCs w:val="10"/>
                <w:color w:val="auto"/>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26,328</w:t>
            </w:r>
          </w:p>
        </w:tc>
        <w:tc>
          <w:tcPr>
            <w:tcW w:w="0" w:type="dxa"/>
            <w:vAlign w:val="bottom"/>
          </w:tcPr>
          <w:p>
            <w:pPr>
              <w:spacing w:after="0"/>
              <w:rPr>
                <w:sz w:val="1"/>
                <w:szCs w:val="1"/>
                <w:color w:val="auto"/>
              </w:rPr>
            </w:pPr>
          </w:p>
        </w:tc>
      </w:tr>
      <w:tr>
        <w:trPr>
          <w:trHeight w:val="126"/>
        </w:trPr>
        <w:tc>
          <w:tcPr>
            <w:tcW w:w="40" w:type="dxa"/>
            <w:vAlign w:val="bottom"/>
            <w:tcBorders>
              <w:top w:val="single" w:sz="8" w:color="CCEEFF"/>
            </w:tcBorders>
            <w:shd w:val="clear" w:color="auto" w:fill="CCEEFF"/>
          </w:tcPr>
          <w:p>
            <w:pPr>
              <w:spacing w:after="0"/>
              <w:rPr>
                <w:sz w:val="10"/>
                <w:szCs w:val="10"/>
                <w:color w:val="auto"/>
              </w:rPr>
            </w:pPr>
          </w:p>
        </w:tc>
        <w:tc>
          <w:tcPr>
            <w:tcW w:w="3080" w:type="dxa"/>
            <w:vAlign w:val="bottom"/>
            <w:tcBorders>
              <w:top w:val="single" w:sz="8" w:color="CCEEFF"/>
            </w:tcBorders>
            <w:shd w:val="clear" w:color="auto" w:fill="CCEEFF"/>
          </w:tcPr>
          <w:p>
            <w:pPr>
              <w:spacing w:after="0"/>
              <w:rPr>
                <w:sz w:val="10"/>
                <w:szCs w:val="10"/>
                <w:color w:val="auto"/>
              </w:rPr>
            </w:pPr>
          </w:p>
        </w:tc>
        <w:tc>
          <w:tcPr>
            <w:tcW w:w="33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120" w:type="dxa"/>
            <w:vAlign w:val="bottom"/>
            <w:gridSpan w:val="2"/>
          </w:tcPr>
          <w:p>
            <w:pPr>
              <w:spacing w:after="0"/>
              <w:rPr>
                <w:sz w:val="20"/>
                <w:szCs w:val="20"/>
                <w:color w:val="auto"/>
              </w:rPr>
            </w:pPr>
            <w:r>
              <w:rPr>
                <w:rFonts w:ascii="Arial" w:cs="Arial" w:eastAsia="Arial" w:hAnsi="Arial"/>
                <w:sz w:val="10"/>
                <w:szCs w:val="10"/>
                <w:color w:val="auto"/>
              </w:rPr>
              <w:t>Pre-provision net revenue</w:t>
            </w:r>
          </w:p>
        </w:tc>
        <w:tc>
          <w:tcPr>
            <w:tcW w:w="380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14,894</w:t>
            </w:r>
          </w:p>
        </w:tc>
        <w:tc>
          <w:tcPr>
            <w:tcW w:w="240" w:type="dxa"/>
            <w:vAlign w:val="bottom"/>
            <w:gridSpan w:val="3"/>
          </w:tcPr>
          <w:p>
            <w:pPr>
              <w:jc w:val="right"/>
              <w:ind w:right="40"/>
              <w:spacing w:after="0"/>
              <w:rPr>
                <w:sz w:val="20"/>
                <w:szCs w:val="20"/>
                <w:color w:val="auto"/>
              </w:rPr>
            </w:pPr>
            <w:r>
              <w:rPr>
                <w:rFonts w:ascii="Arial" w:cs="Arial" w:eastAsia="Arial" w:hAnsi="Arial"/>
                <w:sz w:val="10"/>
                <w:szCs w:val="10"/>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0"/>
                <w:szCs w:val="10"/>
                <w:color w:val="auto"/>
              </w:rPr>
              <w:t>27,377</w:t>
            </w:r>
          </w:p>
        </w:tc>
        <w:tc>
          <w:tcPr>
            <w:tcW w:w="360" w:type="dxa"/>
            <w:vAlign w:val="bottom"/>
            <w:gridSpan w:val="3"/>
          </w:tcPr>
          <w:p>
            <w:pPr>
              <w:jc w:val="right"/>
              <w:ind w:right="200"/>
              <w:spacing w:after="0"/>
              <w:rPr>
                <w:sz w:val="20"/>
                <w:szCs w:val="20"/>
                <w:color w:val="auto"/>
              </w:rPr>
            </w:pPr>
            <w:r>
              <w:rPr>
                <w:rFonts w:ascii="Arial" w:cs="Arial" w:eastAsia="Arial" w:hAnsi="Arial"/>
                <w:sz w:val="10"/>
                <w:szCs w:val="10"/>
                <w:color w:val="auto"/>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26,079</w:t>
            </w:r>
          </w:p>
        </w:tc>
        <w:tc>
          <w:tcPr>
            <w:tcW w:w="0" w:type="dxa"/>
            <w:vAlign w:val="bottom"/>
          </w:tcPr>
          <w:p>
            <w:pPr>
              <w:spacing w:after="0"/>
              <w:rPr>
                <w:sz w:val="1"/>
                <w:szCs w:val="1"/>
                <w:color w:val="auto"/>
              </w:rPr>
            </w:pPr>
          </w:p>
        </w:tc>
      </w:tr>
      <w:tr>
        <w:trPr>
          <w:trHeight w:val="135"/>
        </w:trPr>
        <w:tc>
          <w:tcPr>
            <w:tcW w:w="31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Less: net charge-offs</w:t>
            </w:r>
          </w:p>
        </w:tc>
        <w:tc>
          <w:tcPr>
            <w:tcW w:w="3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rPr>
              <w:t>758</w:t>
            </w:r>
          </w:p>
        </w:tc>
        <w:tc>
          <w:tcPr>
            <w:tcW w:w="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848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429</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3080" w:type="dxa"/>
            <w:vAlign w:val="bottom"/>
          </w:tcPr>
          <w:p>
            <w:pPr>
              <w:ind w:left="40"/>
              <w:spacing w:after="0"/>
              <w:rPr>
                <w:sz w:val="20"/>
                <w:szCs w:val="20"/>
                <w:color w:val="auto"/>
              </w:rPr>
            </w:pPr>
            <w:r>
              <w:rPr>
                <w:rFonts w:ascii="Arial" w:cs="Arial" w:eastAsia="Arial" w:hAnsi="Arial"/>
                <w:sz w:val="10"/>
                <w:szCs w:val="10"/>
                <w:b w:val="1"/>
                <w:bCs w:val="1"/>
                <w:color w:val="auto"/>
              </w:rPr>
              <w:t>Pre-provision net revenue less net charge-offs</w:t>
            </w:r>
          </w:p>
        </w:tc>
        <w:tc>
          <w:tcPr>
            <w:tcW w:w="380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14,136</w:t>
            </w:r>
          </w:p>
        </w:tc>
        <w:tc>
          <w:tcPr>
            <w:tcW w:w="240" w:type="dxa"/>
            <w:vAlign w:val="bottom"/>
            <w:gridSpan w:val="3"/>
          </w:tcPr>
          <w:p>
            <w:pPr>
              <w:jc w:val="right"/>
              <w:ind w:right="40"/>
              <w:spacing w:after="0"/>
              <w:rPr>
                <w:sz w:val="20"/>
                <w:szCs w:val="20"/>
                <w:color w:val="auto"/>
              </w:rPr>
            </w:pPr>
            <w:r>
              <w:rPr>
                <w:rFonts w:ascii="Arial" w:cs="Arial" w:eastAsia="Arial" w:hAnsi="Arial"/>
                <w:sz w:val="10"/>
                <w:szCs w:val="10"/>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0"/>
                <w:szCs w:val="10"/>
                <w:color w:val="auto"/>
              </w:rPr>
              <w:t>26,529</w:t>
            </w:r>
          </w:p>
        </w:tc>
        <w:tc>
          <w:tcPr>
            <w:tcW w:w="360" w:type="dxa"/>
            <w:vAlign w:val="bottom"/>
            <w:gridSpan w:val="3"/>
          </w:tcPr>
          <w:p>
            <w:pPr>
              <w:jc w:val="right"/>
              <w:ind w:right="200"/>
              <w:spacing w:after="0"/>
              <w:rPr>
                <w:sz w:val="20"/>
                <w:szCs w:val="20"/>
                <w:color w:val="auto"/>
              </w:rPr>
            </w:pPr>
            <w:r>
              <w:rPr>
                <w:rFonts w:ascii="Arial" w:cs="Arial" w:eastAsia="Arial" w:hAnsi="Arial"/>
                <w:sz w:val="10"/>
                <w:szCs w:val="10"/>
                <w:color w:val="auto"/>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25,650</w:t>
            </w:r>
          </w:p>
        </w:tc>
        <w:tc>
          <w:tcPr>
            <w:tcW w:w="0" w:type="dxa"/>
            <w:vAlign w:val="bottom"/>
          </w:tcPr>
          <w:p>
            <w:pPr>
              <w:spacing w:after="0"/>
              <w:rPr>
                <w:sz w:val="1"/>
                <w:szCs w:val="1"/>
                <w:color w:val="auto"/>
              </w:rPr>
            </w:pPr>
          </w:p>
        </w:tc>
      </w:tr>
      <w:tr>
        <w:trPr>
          <w:trHeight w:val="126"/>
        </w:trPr>
        <w:tc>
          <w:tcPr>
            <w:tcW w:w="40" w:type="dxa"/>
            <w:vAlign w:val="bottom"/>
            <w:tcBorders>
              <w:top w:val="single" w:sz="8" w:color="CCEEFF"/>
            </w:tcBorders>
            <w:shd w:val="clear" w:color="auto" w:fill="CCEEFF"/>
          </w:tcPr>
          <w:p>
            <w:pPr>
              <w:spacing w:after="0"/>
              <w:rPr>
                <w:sz w:val="10"/>
                <w:szCs w:val="10"/>
                <w:color w:val="auto"/>
              </w:rPr>
            </w:pPr>
          </w:p>
        </w:tc>
        <w:tc>
          <w:tcPr>
            <w:tcW w:w="3080" w:type="dxa"/>
            <w:vAlign w:val="bottom"/>
            <w:tcBorders>
              <w:top w:val="single" w:sz="8" w:color="CCEEFF"/>
            </w:tcBorders>
            <w:shd w:val="clear" w:color="auto" w:fill="CCEEFF"/>
          </w:tcPr>
          <w:p>
            <w:pPr>
              <w:spacing w:after="0"/>
              <w:rPr>
                <w:sz w:val="10"/>
                <w:szCs w:val="10"/>
                <w:color w:val="auto"/>
              </w:rPr>
            </w:pPr>
          </w:p>
        </w:tc>
        <w:tc>
          <w:tcPr>
            <w:tcW w:w="33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3120" w:type="dxa"/>
            <w:vAlign w:val="bottom"/>
            <w:gridSpan w:val="2"/>
          </w:tcPr>
          <w:p>
            <w:pPr>
              <w:spacing w:after="0"/>
              <w:rPr>
                <w:sz w:val="20"/>
                <w:szCs w:val="20"/>
                <w:color w:val="auto"/>
              </w:rPr>
            </w:pPr>
            <w:r>
              <w:rPr>
                <w:rFonts w:ascii="Arial" w:cs="Arial" w:eastAsia="Arial" w:hAnsi="Arial"/>
                <w:sz w:val="10"/>
                <w:szCs w:val="10"/>
                <w:color w:val="auto"/>
              </w:rPr>
              <w:t>Adjusted pre-provision net revenue</w:t>
            </w:r>
          </w:p>
        </w:tc>
        <w:tc>
          <w:tcPr>
            <w:tcW w:w="380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30,569</w:t>
            </w:r>
          </w:p>
        </w:tc>
        <w:tc>
          <w:tcPr>
            <w:tcW w:w="240" w:type="dxa"/>
            <w:vAlign w:val="bottom"/>
            <w:gridSpan w:val="3"/>
          </w:tcPr>
          <w:p>
            <w:pPr>
              <w:jc w:val="right"/>
              <w:ind w:right="40"/>
              <w:spacing w:after="0"/>
              <w:rPr>
                <w:sz w:val="20"/>
                <w:szCs w:val="20"/>
                <w:color w:val="auto"/>
              </w:rPr>
            </w:pPr>
            <w:r>
              <w:rPr>
                <w:rFonts w:ascii="Arial" w:cs="Arial" w:eastAsia="Arial" w:hAnsi="Arial"/>
                <w:sz w:val="10"/>
                <w:szCs w:val="10"/>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0"/>
                <w:szCs w:val="10"/>
                <w:color w:val="auto"/>
              </w:rPr>
              <w:t>28,837</w:t>
            </w:r>
          </w:p>
        </w:tc>
        <w:tc>
          <w:tcPr>
            <w:tcW w:w="360" w:type="dxa"/>
            <w:vAlign w:val="bottom"/>
            <w:gridSpan w:val="3"/>
          </w:tcPr>
          <w:p>
            <w:pPr>
              <w:jc w:val="right"/>
              <w:ind w:right="200"/>
              <w:spacing w:after="0"/>
              <w:rPr>
                <w:sz w:val="20"/>
                <w:szCs w:val="20"/>
                <w:color w:val="auto"/>
              </w:rPr>
            </w:pPr>
            <w:r>
              <w:rPr>
                <w:rFonts w:ascii="Arial" w:cs="Arial" w:eastAsia="Arial" w:hAnsi="Arial"/>
                <w:sz w:val="10"/>
                <w:szCs w:val="10"/>
                <w:color w:val="auto"/>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26,328</w:t>
            </w:r>
          </w:p>
        </w:tc>
        <w:tc>
          <w:tcPr>
            <w:tcW w:w="0" w:type="dxa"/>
            <w:vAlign w:val="bottom"/>
          </w:tcPr>
          <w:p>
            <w:pPr>
              <w:spacing w:after="0"/>
              <w:rPr>
                <w:sz w:val="1"/>
                <w:szCs w:val="1"/>
                <w:color w:val="auto"/>
              </w:rPr>
            </w:pPr>
          </w:p>
        </w:tc>
      </w:tr>
      <w:tr>
        <w:trPr>
          <w:trHeight w:val="135"/>
        </w:trPr>
        <w:tc>
          <w:tcPr>
            <w:tcW w:w="31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Less: net charge-offs</w:t>
            </w:r>
          </w:p>
        </w:tc>
        <w:tc>
          <w:tcPr>
            <w:tcW w:w="3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rPr>
              <w:t>758</w:t>
            </w:r>
          </w:p>
        </w:tc>
        <w:tc>
          <w:tcPr>
            <w:tcW w:w="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848</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429</w:t>
            </w: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3080" w:type="dxa"/>
            <w:vAlign w:val="bottom"/>
          </w:tcPr>
          <w:p>
            <w:pPr>
              <w:ind w:left="40"/>
              <w:spacing w:after="0"/>
              <w:rPr>
                <w:sz w:val="20"/>
                <w:szCs w:val="20"/>
                <w:color w:val="auto"/>
              </w:rPr>
            </w:pPr>
            <w:r>
              <w:rPr>
                <w:rFonts w:ascii="Arial" w:cs="Arial" w:eastAsia="Arial" w:hAnsi="Arial"/>
                <w:sz w:val="10"/>
                <w:szCs w:val="10"/>
                <w:b w:val="1"/>
                <w:bCs w:val="1"/>
                <w:color w:val="auto"/>
              </w:rPr>
              <w:t>Adjusted pre-provision net revenue less net charge-offs</w:t>
            </w:r>
          </w:p>
        </w:tc>
        <w:tc>
          <w:tcPr>
            <w:tcW w:w="3800" w:type="dxa"/>
            <w:vAlign w:val="bottom"/>
            <w:gridSpan w:val="3"/>
          </w:tcPr>
          <w:p>
            <w:pPr>
              <w:jc w:val="right"/>
              <w:ind w:right="180"/>
              <w:spacing w:after="0"/>
              <w:rPr>
                <w:sz w:val="20"/>
                <w:szCs w:val="20"/>
                <w:color w:val="auto"/>
              </w:rPr>
            </w:pPr>
            <w:r>
              <w:rPr>
                <w:rFonts w:ascii="Arial" w:cs="Arial" w:eastAsia="Arial" w:hAnsi="Arial"/>
                <w:sz w:val="10"/>
                <w:szCs w:val="10"/>
                <w:color w:val="auto"/>
              </w:rPr>
              <w:t>$</w:t>
            </w:r>
          </w:p>
        </w:tc>
        <w:tc>
          <w:tcPr>
            <w:tcW w:w="1200" w:type="dxa"/>
            <w:vAlign w:val="bottom"/>
            <w:gridSpan w:val="2"/>
          </w:tcPr>
          <w:p>
            <w:pPr>
              <w:jc w:val="right"/>
              <w:spacing w:after="0"/>
              <w:rPr>
                <w:sz w:val="20"/>
                <w:szCs w:val="20"/>
                <w:color w:val="auto"/>
              </w:rPr>
            </w:pPr>
            <w:r>
              <w:rPr>
                <w:rFonts w:ascii="Arial" w:cs="Arial" w:eastAsia="Arial" w:hAnsi="Arial"/>
                <w:sz w:val="10"/>
                <w:szCs w:val="10"/>
                <w:color w:val="auto"/>
              </w:rPr>
              <w:t>29,811</w:t>
            </w:r>
          </w:p>
        </w:tc>
        <w:tc>
          <w:tcPr>
            <w:tcW w:w="240" w:type="dxa"/>
            <w:vAlign w:val="bottom"/>
            <w:gridSpan w:val="3"/>
          </w:tcPr>
          <w:p>
            <w:pPr>
              <w:jc w:val="right"/>
              <w:ind w:right="40"/>
              <w:spacing w:after="0"/>
              <w:rPr>
                <w:sz w:val="20"/>
                <w:szCs w:val="20"/>
                <w:color w:val="auto"/>
              </w:rPr>
            </w:pPr>
            <w:r>
              <w:rPr>
                <w:rFonts w:ascii="Arial" w:cs="Arial" w:eastAsia="Arial" w:hAnsi="Arial"/>
                <w:sz w:val="10"/>
                <w:szCs w:val="10"/>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0"/>
                <w:szCs w:val="10"/>
                <w:color w:val="auto"/>
              </w:rPr>
              <w:t>27,989</w:t>
            </w:r>
          </w:p>
        </w:tc>
        <w:tc>
          <w:tcPr>
            <w:tcW w:w="360" w:type="dxa"/>
            <w:vAlign w:val="bottom"/>
            <w:gridSpan w:val="3"/>
          </w:tcPr>
          <w:p>
            <w:pPr>
              <w:jc w:val="right"/>
              <w:ind w:right="200"/>
              <w:spacing w:after="0"/>
              <w:rPr>
                <w:sz w:val="20"/>
                <w:szCs w:val="20"/>
                <w:color w:val="auto"/>
              </w:rPr>
            </w:pPr>
            <w:r>
              <w:rPr>
                <w:rFonts w:ascii="Arial" w:cs="Arial" w:eastAsia="Arial" w:hAnsi="Arial"/>
                <w:sz w:val="10"/>
                <w:szCs w:val="10"/>
                <w:color w:val="auto"/>
              </w:rPr>
              <w:t>$</w:t>
            </w:r>
          </w:p>
        </w:tc>
        <w:tc>
          <w:tcPr>
            <w:tcW w:w="1220" w:type="dxa"/>
            <w:vAlign w:val="bottom"/>
          </w:tcPr>
          <w:p>
            <w:pPr>
              <w:jc w:val="right"/>
              <w:spacing w:after="0"/>
              <w:rPr>
                <w:sz w:val="20"/>
                <w:szCs w:val="20"/>
                <w:color w:val="auto"/>
              </w:rPr>
            </w:pPr>
            <w:r>
              <w:rPr>
                <w:rFonts w:ascii="Arial" w:cs="Arial" w:eastAsia="Arial" w:hAnsi="Arial"/>
                <w:sz w:val="10"/>
                <w:szCs w:val="10"/>
                <w:color w:val="auto"/>
              </w:rPr>
              <w:t>25,899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800" w:type="dxa"/>
            <w:vAlign w:val="bottom"/>
            <w:gridSpan w:val="3"/>
          </w:tcPr>
          <w:p>
            <w:pPr>
              <w:jc w:val="right"/>
              <w:ind w:right="140"/>
              <w:spacing w:after="0"/>
              <w:rPr>
                <w:sz w:val="20"/>
                <w:szCs w:val="20"/>
                <w:color w:val="auto"/>
              </w:rPr>
            </w:pPr>
            <w:r>
              <w:rPr>
                <w:rFonts w:ascii="Arial" w:cs="Arial" w:eastAsia="Arial" w:hAnsi="Arial"/>
                <w:sz w:val="10"/>
                <w:szCs w:val="10"/>
                <w:b w:val="1"/>
                <w:bCs w:val="1"/>
                <w:color w:val="auto"/>
              </w:rPr>
              <w:t>Reconciliation of Non-GAAP Financial Measures –</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0" w:type="dxa"/>
            <w:vAlign w:val="bottom"/>
            <w:tcBorders>
              <w:bottom w:val="single" w:sz="8" w:color="auto"/>
            </w:tcBorders>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500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0"/>
                <w:szCs w:val="10"/>
                <w:b w:val="1"/>
                <w:bCs w:val="1"/>
                <w:color w:val="auto"/>
              </w:rPr>
              <w:t>Net Interest Income (Tax-equivalent Basis) and Net Interest Margin (Tax-equivalent Basis)</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97"/>
              </w:rPr>
              <w:t>Three Months Ended</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3120" w:type="dxa"/>
            <w:vAlign w:val="bottom"/>
            <w:gridSpan w:val="2"/>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3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gridSpan w:val="2"/>
          </w:tcPr>
          <w:p>
            <w:pPr>
              <w:jc w:val="right"/>
              <w:ind w:right="620"/>
              <w:spacing w:after="0" w:line="89" w:lineRule="exact"/>
              <w:rPr>
                <w:sz w:val="20"/>
                <w:szCs w:val="20"/>
                <w:color w:val="auto"/>
              </w:rPr>
            </w:pPr>
            <w:r>
              <w:rPr>
                <w:rFonts w:ascii="Arial" w:cs="Arial" w:eastAsia="Arial" w:hAnsi="Arial"/>
                <w:sz w:val="10"/>
                <w:szCs w:val="10"/>
                <w:b w:val="1"/>
                <w:bCs w:val="1"/>
                <w:color w:val="auto"/>
              </w:rPr>
              <w:t>March 31,</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tcPr>
          <w:p>
            <w:pPr>
              <w:jc w:val="center"/>
              <w:ind w:right="300"/>
              <w:spacing w:after="0" w:line="89" w:lineRule="exact"/>
              <w:rPr>
                <w:sz w:val="20"/>
                <w:szCs w:val="20"/>
                <w:color w:val="auto"/>
              </w:rPr>
            </w:pPr>
            <w:r>
              <w:rPr>
                <w:rFonts w:ascii="Arial" w:cs="Arial" w:eastAsia="Arial" w:hAnsi="Arial"/>
                <w:sz w:val="10"/>
                <w:szCs w:val="10"/>
                <w:b w:val="1"/>
                <w:bCs w:val="1"/>
                <w:color w:val="auto"/>
                <w:w w:val="95"/>
              </w:rPr>
              <w:t>December 31,</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20" w:type="dxa"/>
            <w:vAlign w:val="bottom"/>
          </w:tcPr>
          <w:p>
            <w:pPr>
              <w:jc w:val="right"/>
              <w:ind w:right="512"/>
              <w:spacing w:after="0" w:line="89" w:lineRule="exact"/>
              <w:rPr>
                <w:sz w:val="20"/>
                <w:szCs w:val="20"/>
                <w:color w:val="auto"/>
              </w:rPr>
            </w:pPr>
            <w:r>
              <w:rPr>
                <w:rFonts w:ascii="Arial" w:cs="Arial" w:eastAsia="Arial" w:hAnsi="Arial"/>
                <w:sz w:val="10"/>
                <w:szCs w:val="10"/>
                <w:b w:val="1"/>
                <w:bCs w:val="1"/>
                <w:color w:val="auto"/>
              </w:rPr>
              <w:t>March 31,</w:t>
            </w:r>
          </w:p>
        </w:tc>
        <w:tc>
          <w:tcPr>
            <w:tcW w:w="0" w:type="dxa"/>
            <w:vAlign w:val="bottom"/>
          </w:tcPr>
          <w:p>
            <w:pPr>
              <w:spacing w:after="0"/>
              <w:rPr>
                <w:sz w:val="1"/>
                <w:szCs w:val="1"/>
                <w:color w:val="auto"/>
              </w:rPr>
            </w:pPr>
          </w:p>
        </w:tc>
      </w:tr>
      <w:tr>
        <w:trPr>
          <w:trHeight w:val="134"/>
        </w:trPr>
        <w:tc>
          <w:tcPr>
            <w:tcW w:w="3120" w:type="dxa"/>
            <w:vAlign w:val="bottom"/>
            <w:gridSpan w:val="2"/>
            <w:vMerge w:val="continue"/>
          </w:tcPr>
          <w:p>
            <w:pPr>
              <w:spacing w:after="0"/>
              <w:rPr>
                <w:sz w:val="11"/>
                <w:szCs w:val="11"/>
                <w:color w:val="auto"/>
              </w:rPr>
            </w:pPr>
          </w:p>
        </w:tc>
        <w:tc>
          <w:tcPr>
            <w:tcW w:w="33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2026</w:t>
            </w:r>
          </w:p>
        </w:tc>
        <w:tc>
          <w:tcPr>
            <w:tcW w:w="80" w:type="dxa"/>
            <w:vAlign w:val="bottom"/>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center"/>
              <w:ind w:right="172"/>
              <w:spacing w:after="0"/>
              <w:rPr>
                <w:sz w:val="20"/>
                <w:szCs w:val="20"/>
                <w:color w:val="auto"/>
              </w:rPr>
            </w:pPr>
            <w:r>
              <w:rPr>
                <w:rFonts w:ascii="Arial" w:cs="Arial" w:eastAsia="Arial" w:hAnsi="Arial"/>
                <w:sz w:val="10"/>
                <w:szCs w:val="10"/>
                <w:b w:val="1"/>
                <w:bCs w:val="1"/>
                <w:color w:val="auto"/>
                <w:w w:val="89"/>
              </w:rPr>
              <w:t>2025</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3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43"/>
        </w:trPr>
        <w:tc>
          <w:tcPr>
            <w:tcW w:w="3120" w:type="dxa"/>
            <w:vAlign w:val="bottom"/>
            <w:gridSpan w:val="2"/>
            <w:shd w:val="clear" w:color="auto" w:fill="CCEEFF"/>
          </w:tcPr>
          <w:p>
            <w:pPr>
              <w:spacing w:after="0"/>
              <w:rPr>
                <w:sz w:val="20"/>
                <w:szCs w:val="20"/>
                <w:color w:val="auto"/>
              </w:rPr>
            </w:pPr>
            <w:r>
              <w:rPr>
                <w:rFonts w:ascii="Arial" w:cs="Arial" w:eastAsia="Arial" w:hAnsi="Arial"/>
                <w:sz w:val="10"/>
                <w:szCs w:val="10"/>
                <w:b w:val="1"/>
                <w:bCs w:val="1"/>
                <w:color w:val="auto"/>
              </w:rPr>
              <w:t>Net interest income (tax-equivalent basis)</w:t>
            </w:r>
          </w:p>
        </w:tc>
        <w:tc>
          <w:tcPr>
            <w:tcW w:w="3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40" w:type="dxa"/>
            <w:vAlign w:val="bottom"/>
          </w:tcPr>
          <w:p>
            <w:pPr>
              <w:spacing w:after="0"/>
              <w:rPr>
                <w:sz w:val="11"/>
                <w:szCs w:val="11"/>
                <w:color w:val="auto"/>
              </w:rPr>
            </w:pPr>
          </w:p>
        </w:tc>
        <w:tc>
          <w:tcPr>
            <w:tcW w:w="3080" w:type="dxa"/>
            <w:vAlign w:val="bottom"/>
          </w:tcPr>
          <w:p>
            <w:pPr>
              <w:ind w:left="20"/>
              <w:spacing w:after="0"/>
              <w:rPr>
                <w:sz w:val="20"/>
                <w:szCs w:val="20"/>
                <w:color w:val="auto"/>
              </w:rPr>
            </w:pPr>
            <w:r>
              <w:rPr>
                <w:rFonts w:ascii="Arial" w:cs="Arial" w:eastAsia="Arial" w:hAnsi="Arial"/>
                <w:sz w:val="10"/>
                <w:szCs w:val="10"/>
                <w:color w:val="auto"/>
              </w:rPr>
              <w:t>Net interest income</w:t>
            </w:r>
          </w:p>
        </w:tc>
        <w:tc>
          <w:tcPr>
            <w:tcW w:w="3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1"/>
                <w:szCs w:val="11"/>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56,387</w:t>
            </w:r>
          </w:p>
        </w:tc>
        <w:tc>
          <w:tcPr>
            <w:tcW w:w="80" w:type="dxa"/>
            <w:vAlign w:val="bottom"/>
          </w:tcPr>
          <w:p>
            <w:pPr>
              <w:spacing w:after="0"/>
              <w:rPr>
                <w:sz w:val="11"/>
                <w:szCs w:val="11"/>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50,543</w:t>
            </w:r>
          </w:p>
        </w:tc>
        <w:tc>
          <w:tcPr>
            <w:tcW w:w="60" w:type="dxa"/>
            <w:vAlign w:val="bottom"/>
          </w:tcPr>
          <w:p>
            <w:pPr>
              <w:spacing w:after="0"/>
              <w:rPr>
                <w:sz w:val="11"/>
                <w:szCs w:val="11"/>
                <w:color w:val="auto"/>
              </w:rPr>
            </w:pPr>
          </w:p>
        </w:tc>
        <w:tc>
          <w:tcPr>
            <w:tcW w:w="36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48,708</w:t>
            </w:r>
          </w:p>
        </w:tc>
        <w:tc>
          <w:tcPr>
            <w:tcW w:w="0" w:type="dxa"/>
            <w:vAlign w:val="bottom"/>
          </w:tcPr>
          <w:p>
            <w:pPr>
              <w:spacing w:after="0"/>
              <w:rPr>
                <w:sz w:val="1"/>
                <w:szCs w:val="1"/>
                <w:color w:val="auto"/>
              </w:rPr>
            </w:pPr>
          </w:p>
        </w:tc>
      </w:tr>
      <w:tr>
        <w:trPr>
          <w:trHeight w:val="138"/>
        </w:trPr>
        <w:tc>
          <w:tcPr>
            <w:tcW w:w="40" w:type="dxa"/>
            <w:vAlign w:val="bottom"/>
            <w:shd w:val="clear" w:color="auto" w:fill="CCEEFF"/>
          </w:tcPr>
          <w:p>
            <w:pPr>
              <w:spacing w:after="0"/>
              <w:rPr>
                <w:sz w:val="12"/>
                <w:szCs w:val="12"/>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 xml:space="preserve">Tax-equivalent adjustment </w:t>
            </w:r>
            <w:r>
              <w:rPr>
                <w:rFonts w:ascii="Arial" w:cs="Arial" w:eastAsia="Arial" w:hAnsi="Arial"/>
                <w:sz w:val="12"/>
                <w:szCs w:val="12"/>
                <w:color w:val="auto"/>
                <w:vertAlign w:val="superscript"/>
              </w:rPr>
              <w:t>(1)</w:t>
            </w:r>
          </w:p>
        </w:tc>
        <w:tc>
          <w:tcPr>
            <w:tcW w:w="33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649</w:t>
            </w:r>
          </w:p>
        </w:tc>
        <w:tc>
          <w:tcPr>
            <w:tcW w:w="8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558</w:t>
            </w: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545</w:t>
            </w:r>
          </w:p>
        </w:tc>
        <w:tc>
          <w:tcPr>
            <w:tcW w:w="0" w:type="dxa"/>
            <w:vAlign w:val="bottom"/>
          </w:tcPr>
          <w:p>
            <w:pPr>
              <w:spacing w:after="0"/>
              <w:rPr>
                <w:sz w:val="1"/>
                <w:szCs w:val="1"/>
                <w:color w:val="auto"/>
              </w:rPr>
            </w:pPr>
          </w:p>
        </w:tc>
      </w:tr>
      <w:tr>
        <w:trPr>
          <w:trHeight w:val="140"/>
        </w:trPr>
        <w:tc>
          <w:tcPr>
            <w:tcW w:w="40" w:type="dxa"/>
            <w:vAlign w:val="bottom"/>
          </w:tcPr>
          <w:p>
            <w:pPr>
              <w:spacing w:after="0"/>
              <w:rPr>
                <w:sz w:val="12"/>
                <w:szCs w:val="12"/>
                <w:color w:val="auto"/>
              </w:rPr>
            </w:pPr>
          </w:p>
        </w:tc>
        <w:tc>
          <w:tcPr>
            <w:tcW w:w="3080" w:type="dxa"/>
            <w:vAlign w:val="bottom"/>
          </w:tcPr>
          <w:p>
            <w:pPr>
              <w:ind w:left="20"/>
              <w:spacing w:after="0" w:line="124" w:lineRule="exact"/>
              <w:rPr>
                <w:sz w:val="20"/>
                <w:szCs w:val="20"/>
                <w:color w:val="auto"/>
              </w:rPr>
            </w:pPr>
            <w:r>
              <w:rPr>
                <w:rFonts w:ascii="Arial" w:cs="Arial" w:eastAsia="Arial" w:hAnsi="Arial"/>
                <w:sz w:val="10"/>
                <w:szCs w:val="10"/>
                <w:color w:val="auto"/>
              </w:rPr>
              <w:t xml:space="preserve">Net interest income (tax-equivalent basis) </w:t>
            </w:r>
            <w:r>
              <w:rPr>
                <w:rFonts w:ascii="Arial" w:cs="Arial" w:eastAsia="Arial" w:hAnsi="Arial"/>
                <w:sz w:val="12"/>
                <w:szCs w:val="12"/>
                <w:color w:val="auto"/>
                <w:vertAlign w:val="superscript"/>
              </w:rPr>
              <w:t>(1)</w:t>
            </w:r>
          </w:p>
        </w:tc>
        <w:tc>
          <w:tcPr>
            <w:tcW w:w="356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2"/>
                <w:szCs w:val="12"/>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57,036</w:t>
            </w:r>
          </w:p>
        </w:tc>
        <w:tc>
          <w:tcPr>
            <w:tcW w:w="80" w:type="dxa"/>
            <w:vAlign w:val="bottom"/>
          </w:tcPr>
          <w:p>
            <w:pPr>
              <w:spacing w:after="0"/>
              <w:rPr>
                <w:sz w:val="12"/>
                <w:szCs w:val="12"/>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1300" w:type="dxa"/>
            <w:vAlign w:val="bottom"/>
          </w:tcPr>
          <w:p>
            <w:pPr>
              <w:jc w:val="right"/>
              <w:ind w:right="72"/>
              <w:spacing w:after="0"/>
              <w:rPr>
                <w:sz w:val="20"/>
                <w:szCs w:val="20"/>
                <w:color w:val="auto"/>
              </w:rPr>
            </w:pPr>
            <w:r>
              <w:rPr>
                <w:rFonts w:ascii="Arial" w:cs="Arial" w:eastAsia="Arial" w:hAnsi="Arial"/>
                <w:sz w:val="10"/>
                <w:szCs w:val="10"/>
                <w:color w:val="auto"/>
              </w:rPr>
              <w:t>51,101</w:t>
            </w:r>
          </w:p>
        </w:tc>
        <w:tc>
          <w:tcPr>
            <w:tcW w:w="60" w:type="dxa"/>
            <w:vAlign w:val="bottom"/>
          </w:tcPr>
          <w:p>
            <w:pPr>
              <w:spacing w:after="0"/>
              <w:rPr>
                <w:sz w:val="12"/>
                <w:szCs w:val="12"/>
                <w:color w:val="auto"/>
              </w:rPr>
            </w:pPr>
          </w:p>
        </w:tc>
        <w:tc>
          <w:tcPr>
            <w:tcW w:w="360" w:type="dxa"/>
            <w:vAlign w:val="bottom"/>
            <w:gridSpan w:val="3"/>
          </w:tcPr>
          <w:p>
            <w:pPr>
              <w:jc w:val="right"/>
              <w:ind w:right="260"/>
              <w:spacing w:after="0"/>
              <w:rPr>
                <w:sz w:val="20"/>
                <w:szCs w:val="20"/>
                <w:color w:val="auto"/>
              </w:rPr>
            </w:pPr>
            <w:r>
              <w:rPr>
                <w:rFonts w:ascii="Arial" w:cs="Arial" w:eastAsia="Arial" w:hAnsi="Arial"/>
                <w:sz w:val="10"/>
                <w:szCs w:val="10"/>
                <w:color w:val="auto"/>
              </w:rPr>
              <w:t>$</w:t>
            </w:r>
          </w:p>
        </w:tc>
        <w:tc>
          <w:tcPr>
            <w:tcW w:w="1220" w:type="dxa"/>
            <w:vAlign w:val="bottom"/>
          </w:tcPr>
          <w:p>
            <w:pPr>
              <w:jc w:val="right"/>
              <w:ind w:right="72"/>
              <w:spacing w:after="0"/>
              <w:rPr>
                <w:sz w:val="20"/>
                <w:szCs w:val="20"/>
                <w:color w:val="auto"/>
              </w:rPr>
            </w:pPr>
            <w:r>
              <w:rPr>
                <w:rFonts w:ascii="Arial" w:cs="Arial" w:eastAsia="Arial" w:hAnsi="Arial"/>
                <w:sz w:val="10"/>
                <w:szCs w:val="10"/>
                <w:color w:val="auto"/>
              </w:rPr>
              <w:t>49,253</w:t>
            </w:r>
          </w:p>
        </w:tc>
        <w:tc>
          <w:tcPr>
            <w:tcW w:w="0" w:type="dxa"/>
            <w:vAlign w:val="bottom"/>
          </w:tcPr>
          <w:p>
            <w:pPr>
              <w:spacing w:after="0"/>
              <w:rPr>
                <w:sz w:val="1"/>
                <w:szCs w:val="1"/>
                <w:color w:val="auto"/>
              </w:rPr>
            </w:pPr>
          </w:p>
        </w:tc>
      </w:tr>
      <w:tr>
        <w:trPr>
          <w:trHeight w:val="126"/>
        </w:trPr>
        <w:tc>
          <w:tcPr>
            <w:tcW w:w="40" w:type="dxa"/>
            <w:vAlign w:val="bottom"/>
            <w:tcBorders>
              <w:top w:val="single" w:sz="8" w:color="CCEEFF"/>
            </w:tcBorders>
            <w:shd w:val="clear" w:color="auto" w:fill="CCEEFF"/>
          </w:tcPr>
          <w:p>
            <w:pPr>
              <w:spacing w:after="0"/>
              <w:rPr>
                <w:sz w:val="10"/>
                <w:szCs w:val="10"/>
                <w:color w:val="auto"/>
              </w:rPr>
            </w:pPr>
          </w:p>
        </w:tc>
        <w:tc>
          <w:tcPr>
            <w:tcW w:w="3080" w:type="dxa"/>
            <w:vAlign w:val="bottom"/>
            <w:tcBorders>
              <w:top w:val="single" w:sz="8" w:color="CCEEFF"/>
            </w:tcBorders>
            <w:shd w:val="clear" w:color="auto" w:fill="CCEEFF"/>
          </w:tcPr>
          <w:p>
            <w:pPr>
              <w:spacing w:after="0"/>
              <w:rPr>
                <w:sz w:val="10"/>
                <w:szCs w:val="10"/>
                <w:color w:val="auto"/>
              </w:rPr>
            </w:pPr>
          </w:p>
        </w:tc>
        <w:tc>
          <w:tcPr>
            <w:tcW w:w="33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1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3120" w:type="dxa"/>
            <w:vAlign w:val="bottom"/>
            <w:gridSpan w:val="2"/>
          </w:tcPr>
          <w:p>
            <w:pPr>
              <w:spacing w:after="0"/>
              <w:rPr>
                <w:sz w:val="20"/>
                <w:szCs w:val="20"/>
                <w:color w:val="auto"/>
              </w:rPr>
            </w:pPr>
            <w:r>
              <w:rPr>
                <w:rFonts w:ascii="Arial" w:cs="Arial" w:eastAsia="Arial" w:hAnsi="Arial"/>
                <w:sz w:val="10"/>
                <w:szCs w:val="10"/>
                <w:b w:val="1"/>
                <w:bCs w:val="1"/>
                <w:color w:val="auto"/>
              </w:rPr>
              <w:t>Net interest margin (tax-equivalent basis)</w:t>
            </w:r>
          </w:p>
        </w:tc>
        <w:tc>
          <w:tcPr>
            <w:tcW w:w="3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0" w:type="dxa"/>
            <w:vAlign w:val="bottom"/>
            <w:shd w:val="clear" w:color="auto" w:fill="CCEEFF"/>
          </w:tcPr>
          <w:p>
            <w:pPr>
              <w:spacing w:after="0"/>
              <w:rPr>
                <w:sz w:val="11"/>
                <w:szCs w:val="11"/>
                <w:color w:val="auto"/>
              </w:rPr>
            </w:pPr>
          </w:p>
        </w:tc>
        <w:tc>
          <w:tcPr>
            <w:tcW w:w="308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interest margin *</w:t>
            </w:r>
          </w:p>
        </w:tc>
        <w:tc>
          <w:tcPr>
            <w:tcW w:w="3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4.20 %</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4.12 %</w:t>
            </w: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4.12 %</w:t>
            </w:r>
          </w:p>
        </w:tc>
        <w:tc>
          <w:tcPr>
            <w:tcW w:w="0" w:type="dxa"/>
            <w:vAlign w:val="bottom"/>
          </w:tcPr>
          <w:p>
            <w:pPr>
              <w:spacing w:after="0"/>
              <w:rPr>
                <w:sz w:val="1"/>
                <w:szCs w:val="1"/>
                <w:color w:val="auto"/>
              </w:rPr>
            </w:pPr>
          </w:p>
        </w:tc>
      </w:tr>
      <w:tr>
        <w:trPr>
          <w:trHeight w:val="135"/>
        </w:trPr>
        <w:tc>
          <w:tcPr>
            <w:tcW w:w="40" w:type="dxa"/>
            <w:vAlign w:val="bottom"/>
            <w:tcBorders>
              <w:bottom w:val="single" w:sz="8" w:color="CCEEFF"/>
            </w:tcBorders>
          </w:tcPr>
          <w:p>
            <w:pPr>
              <w:spacing w:after="0"/>
              <w:rPr>
                <w:sz w:val="11"/>
                <w:szCs w:val="11"/>
                <w:color w:val="auto"/>
              </w:rPr>
            </w:pPr>
          </w:p>
        </w:tc>
        <w:tc>
          <w:tcPr>
            <w:tcW w:w="308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0"/>
                <w:szCs w:val="10"/>
                <w:color w:val="auto"/>
              </w:rPr>
              <w:t xml:space="preserve">Tax-equivalent adjustment * </w:t>
            </w:r>
            <w:r>
              <w:rPr>
                <w:rFonts w:ascii="Arial" w:cs="Arial" w:eastAsia="Arial" w:hAnsi="Arial"/>
                <w:sz w:val="12"/>
                <w:szCs w:val="12"/>
                <w:color w:val="auto"/>
                <w:vertAlign w:val="superscript"/>
              </w:rPr>
              <w:t>(1)</w:t>
            </w:r>
          </w:p>
        </w:tc>
        <w:tc>
          <w:tcPr>
            <w:tcW w:w="33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0.05</w:t>
            </w: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0.04</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0.04</w:t>
            </w:r>
          </w:p>
        </w:tc>
        <w:tc>
          <w:tcPr>
            <w:tcW w:w="0" w:type="dxa"/>
            <w:vAlign w:val="bottom"/>
          </w:tcPr>
          <w:p>
            <w:pPr>
              <w:spacing w:after="0"/>
              <w:rPr>
                <w:sz w:val="1"/>
                <w:szCs w:val="1"/>
                <w:color w:val="auto"/>
              </w:rPr>
            </w:pPr>
          </w:p>
        </w:tc>
      </w:tr>
      <w:tr>
        <w:trPr>
          <w:trHeight w:val="140"/>
        </w:trPr>
        <w:tc>
          <w:tcPr>
            <w:tcW w:w="40" w:type="dxa"/>
            <w:vAlign w:val="bottom"/>
            <w:tcBorders>
              <w:bottom w:val="single" w:sz="8" w:color="CCEEFF"/>
            </w:tcBorders>
            <w:shd w:val="clear" w:color="auto" w:fill="CCEEFF"/>
          </w:tcPr>
          <w:p>
            <w:pPr>
              <w:spacing w:after="0"/>
              <w:rPr>
                <w:sz w:val="12"/>
                <w:szCs w:val="12"/>
                <w:color w:val="auto"/>
              </w:rPr>
            </w:pPr>
          </w:p>
        </w:tc>
        <w:tc>
          <w:tcPr>
            <w:tcW w:w="3080" w:type="dxa"/>
            <w:vAlign w:val="bottom"/>
            <w:tcBorders>
              <w:bottom w:val="single" w:sz="8" w:color="CCEEFF"/>
            </w:tcBorders>
            <w:shd w:val="clear" w:color="auto" w:fill="CCEEFF"/>
          </w:tcPr>
          <w:p>
            <w:pPr>
              <w:ind w:left="20"/>
              <w:spacing w:after="0" w:line="124" w:lineRule="exact"/>
              <w:rPr>
                <w:sz w:val="20"/>
                <w:szCs w:val="20"/>
                <w:color w:val="auto"/>
              </w:rPr>
            </w:pPr>
            <w:r>
              <w:rPr>
                <w:rFonts w:ascii="Arial" w:cs="Arial" w:eastAsia="Arial" w:hAnsi="Arial"/>
                <w:sz w:val="10"/>
                <w:szCs w:val="10"/>
                <w:color w:val="auto"/>
              </w:rPr>
              <w:t xml:space="preserve">Net interest margin (tax-equivalent basis) * </w:t>
            </w:r>
            <w:r>
              <w:rPr>
                <w:rFonts w:ascii="Arial" w:cs="Arial" w:eastAsia="Arial" w:hAnsi="Arial"/>
                <w:sz w:val="12"/>
                <w:szCs w:val="12"/>
                <w:color w:val="auto"/>
                <w:vertAlign w:val="superscript"/>
              </w:rPr>
              <w:t>(1)</w:t>
            </w:r>
          </w:p>
        </w:tc>
        <w:tc>
          <w:tcPr>
            <w:tcW w:w="33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4.25 %</w:t>
            </w:r>
          </w:p>
        </w:tc>
        <w:tc>
          <w:tcPr>
            <w:tcW w:w="8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4.16 %</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4.16 %</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Average interest-earning assets</w:t>
            </w:r>
          </w:p>
        </w:tc>
        <w:tc>
          <w:tcPr>
            <w:tcW w:w="356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5,444,413</w:t>
            </w:r>
          </w:p>
        </w:tc>
        <w:tc>
          <w:tcPr>
            <w:tcW w:w="8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ind w:right="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4,871,320</w:t>
            </w:r>
          </w:p>
        </w:tc>
        <w:tc>
          <w:tcPr>
            <w:tcW w:w="60" w:type="dxa"/>
            <w:vAlign w:val="bottom"/>
            <w:shd w:val="clear" w:color="auto" w:fill="CCEEFF"/>
          </w:tcPr>
          <w:p>
            <w:pPr>
              <w:spacing w:after="0"/>
              <w:rPr>
                <w:sz w:val="11"/>
                <w:szCs w:val="11"/>
                <w:color w:val="auto"/>
              </w:rPr>
            </w:pPr>
          </w:p>
        </w:tc>
        <w:tc>
          <w:tcPr>
            <w:tcW w:w="360" w:type="dxa"/>
            <w:vAlign w:val="bottom"/>
            <w:gridSpan w:val="3"/>
            <w:shd w:val="clear" w:color="auto" w:fill="CCEEFF"/>
          </w:tcPr>
          <w:p>
            <w:pPr>
              <w:jc w:val="right"/>
              <w:ind w:right="260"/>
              <w:spacing w:after="0"/>
              <w:rPr>
                <w:sz w:val="20"/>
                <w:szCs w:val="20"/>
                <w:color w:val="auto"/>
              </w:rPr>
            </w:pPr>
            <w:r>
              <w:rPr>
                <w:rFonts w:ascii="Arial" w:cs="Arial" w:eastAsia="Arial" w:hAnsi="Arial"/>
                <w:sz w:val="10"/>
                <w:szCs w:val="10"/>
                <w:color w:val="auto"/>
              </w:rPr>
              <w:t>$</w:t>
            </w: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4,798,021</w:t>
            </w:r>
          </w:p>
        </w:tc>
        <w:tc>
          <w:tcPr>
            <w:tcW w:w="0" w:type="dxa"/>
            <w:vAlign w:val="bottom"/>
          </w:tcPr>
          <w:p>
            <w:pPr>
              <w:spacing w:after="0"/>
              <w:rPr>
                <w:sz w:val="1"/>
                <w:szCs w:val="1"/>
                <w:color w:val="auto"/>
              </w:rPr>
            </w:pPr>
          </w:p>
        </w:tc>
      </w:tr>
      <w:tr>
        <w:trPr>
          <w:trHeight w:val="166"/>
        </w:trPr>
        <w:tc>
          <w:tcPr>
            <w:tcW w:w="3120" w:type="dxa"/>
            <w:vAlign w:val="bottom"/>
            <w:gridSpan w:val="2"/>
          </w:tcPr>
          <w:p>
            <w:pPr>
              <w:spacing w:after="0"/>
              <w:rPr>
                <w:sz w:val="20"/>
                <w:szCs w:val="20"/>
                <w:color w:val="auto"/>
              </w:rPr>
            </w:pPr>
            <w:r>
              <w:rPr>
                <w:rFonts w:ascii="Arial" w:cs="Arial" w:eastAsia="Arial" w:hAnsi="Arial"/>
                <w:sz w:val="10"/>
                <w:szCs w:val="10"/>
                <w:color w:val="auto"/>
              </w:rPr>
              <w:t>____________________________________</w:t>
            </w:r>
          </w:p>
        </w:tc>
        <w:tc>
          <w:tcPr>
            <w:tcW w:w="3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20"/>
                <w:szCs w:val="20"/>
                <w:color w:val="auto"/>
              </w:rPr>
            </w:pPr>
            <w:r>
              <w:rPr>
                <w:rFonts w:ascii="Arial" w:cs="Arial" w:eastAsia="Arial" w:hAnsi="Arial"/>
                <w:sz w:val="7"/>
                <w:szCs w:val="7"/>
                <w:color w:val="auto"/>
                <w:w w:val="71"/>
              </w:rPr>
              <w:t>*</w:t>
            </w:r>
          </w:p>
        </w:tc>
        <w:tc>
          <w:tcPr>
            <w:tcW w:w="3080" w:type="dxa"/>
            <w:vAlign w:val="bottom"/>
          </w:tcPr>
          <w:p>
            <w:pPr>
              <w:ind w:left="160"/>
              <w:spacing w:after="0"/>
              <w:rPr>
                <w:sz w:val="20"/>
                <w:szCs w:val="20"/>
                <w:color w:val="auto"/>
              </w:rPr>
            </w:pPr>
            <w:r>
              <w:rPr>
                <w:rFonts w:ascii="Arial" w:cs="Arial" w:eastAsia="Arial" w:hAnsi="Arial"/>
                <w:sz w:val="10"/>
                <w:szCs w:val="10"/>
                <w:color w:val="auto"/>
              </w:rPr>
              <w:t>Annualized measure.</w:t>
            </w:r>
          </w:p>
        </w:tc>
        <w:tc>
          <w:tcPr>
            <w:tcW w:w="3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920" w:type="dxa"/>
            <w:vAlign w:val="bottom"/>
            <w:gridSpan w:val="5"/>
          </w:tcPr>
          <w:p>
            <w:pPr>
              <w:spacing w:after="0"/>
              <w:rPr>
                <w:sz w:val="20"/>
                <w:szCs w:val="20"/>
                <w:color w:val="auto"/>
              </w:rPr>
            </w:pPr>
            <w:r>
              <w:rPr>
                <w:rFonts w:ascii="Arial" w:cs="Arial" w:eastAsia="Arial" w:hAnsi="Arial"/>
                <w:sz w:val="10"/>
                <w:szCs w:val="10"/>
                <w:color w:val="auto"/>
              </w:rPr>
              <w:t>(1)  On a tax-equivalent basis assuming a federal income tax rate of 21% and a state tax rate of 9.5%.</w:t>
            </w: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35" w:right="299" w:bottom="1440" w:gutter="0" w:footer="0" w:header="0"/>
        </w:sectPr>
      </w:pPr>
    </w:p>
    <w:bookmarkStart w:id="17" w:name="page18"/>
    <w:bookmarkEnd w:id="17"/>
    <w:p>
      <w:pPr>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Page 15</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Reconciliation of Non-GAAP Financial Measures –</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Efficiency Ratio (Tax-equivalent Basis) and Adjusted Efficiency Ratio (Tax-equivalent Basis)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6520" w:type="dxa"/>
            <w:vAlign w:val="bottom"/>
            <w:tcBorders>
              <w:top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1440" w:type="dxa"/>
            <w:vAlign w:val="bottom"/>
            <w:tcBorders>
              <w:top w:val="single" w:sz="8" w:color="auto"/>
              <w:bottom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94"/>
              </w:rPr>
              <w:t>Three Months Ended</w:t>
            </w:r>
          </w:p>
        </w:tc>
        <w:tc>
          <w:tcPr>
            <w:tcW w:w="300" w:type="dxa"/>
            <w:vAlign w:val="bottom"/>
            <w:tcBorders>
              <w:top w:val="single" w:sz="8" w:color="auto"/>
              <w:bottom w:val="single" w:sz="8" w:color="auto"/>
            </w:tcBorders>
          </w:tcPr>
          <w:p>
            <w:pPr>
              <w:spacing w:after="0"/>
              <w:rPr>
                <w:sz w:val="11"/>
                <w:szCs w:val="11"/>
                <w:color w:val="auto"/>
              </w:rPr>
            </w:pPr>
          </w:p>
        </w:tc>
        <w:tc>
          <w:tcPr>
            <w:tcW w:w="124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652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1060" w:type="dxa"/>
            <w:vAlign w:val="bottom"/>
          </w:tcPr>
          <w:p>
            <w:pPr>
              <w:jc w:val="right"/>
              <w:ind w:right="32"/>
              <w:spacing w:after="0" w:line="89" w:lineRule="exact"/>
              <w:rPr>
                <w:sz w:val="20"/>
                <w:szCs w:val="20"/>
                <w:color w:val="auto"/>
              </w:rPr>
            </w:pPr>
            <w:r>
              <w:rPr>
                <w:rFonts w:ascii="Arial" w:cs="Arial" w:eastAsia="Arial" w:hAnsi="Arial"/>
                <w:sz w:val="10"/>
                <w:szCs w:val="10"/>
                <w:b w:val="1"/>
                <w:bCs w:val="1"/>
                <w:color w:val="auto"/>
              </w:rPr>
              <w:t>March 31,</w:t>
            </w: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40" w:type="dxa"/>
            <w:vAlign w:val="bottom"/>
            <w:gridSpan w:val="2"/>
          </w:tcPr>
          <w:p>
            <w:pPr>
              <w:jc w:val="center"/>
              <w:ind w:right="260"/>
              <w:spacing w:after="0" w:line="89" w:lineRule="exact"/>
              <w:rPr>
                <w:sz w:val="20"/>
                <w:szCs w:val="20"/>
                <w:color w:val="auto"/>
              </w:rPr>
            </w:pPr>
            <w:r>
              <w:rPr>
                <w:rFonts w:ascii="Arial" w:cs="Arial" w:eastAsia="Arial" w:hAnsi="Arial"/>
                <w:sz w:val="10"/>
                <w:szCs w:val="10"/>
                <w:b w:val="1"/>
                <w:bCs w:val="1"/>
                <w:color w:val="auto"/>
                <w:w w:val="95"/>
              </w:rPr>
              <w:t>December 31,</w:t>
            </w:r>
          </w:p>
        </w:tc>
        <w:tc>
          <w:tcPr>
            <w:tcW w:w="300" w:type="dxa"/>
            <w:vAlign w:val="bottom"/>
          </w:tcPr>
          <w:p>
            <w:pPr>
              <w:spacing w:after="0"/>
              <w:rPr>
                <w:sz w:val="7"/>
                <w:szCs w:val="7"/>
                <w:color w:val="auto"/>
              </w:rPr>
            </w:pPr>
          </w:p>
        </w:tc>
        <w:tc>
          <w:tcPr>
            <w:tcW w:w="1240" w:type="dxa"/>
            <w:vAlign w:val="bottom"/>
          </w:tcPr>
          <w:p>
            <w:pPr>
              <w:jc w:val="right"/>
              <w:ind w:right="512"/>
              <w:spacing w:after="0" w:line="89" w:lineRule="exact"/>
              <w:rPr>
                <w:sz w:val="20"/>
                <w:szCs w:val="20"/>
                <w:color w:val="auto"/>
              </w:rPr>
            </w:pPr>
            <w:r>
              <w:rPr>
                <w:rFonts w:ascii="Arial" w:cs="Arial" w:eastAsia="Arial" w:hAnsi="Arial"/>
                <w:sz w:val="10"/>
                <w:szCs w:val="10"/>
                <w:b w:val="1"/>
                <w:bCs w:val="1"/>
                <w:color w:val="auto"/>
              </w:rPr>
              <w:t>March 31,</w:t>
            </w:r>
          </w:p>
        </w:tc>
        <w:tc>
          <w:tcPr>
            <w:tcW w:w="0" w:type="dxa"/>
            <w:vAlign w:val="bottom"/>
          </w:tcPr>
          <w:p>
            <w:pPr>
              <w:spacing w:after="0"/>
              <w:rPr>
                <w:sz w:val="1"/>
                <w:szCs w:val="1"/>
                <w:color w:val="auto"/>
              </w:rPr>
            </w:pPr>
          </w:p>
        </w:tc>
      </w:tr>
      <w:tr>
        <w:trPr>
          <w:trHeight w:val="134"/>
        </w:trPr>
        <w:tc>
          <w:tcPr>
            <w:tcW w:w="6520" w:type="dxa"/>
            <w:vAlign w:val="bottom"/>
            <w:vMerge w:val="continue"/>
          </w:tcPr>
          <w:p>
            <w:pPr>
              <w:spacing w:after="0"/>
              <w:rPr>
                <w:sz w:val="11"/>
                <w:szCs w:val="11"/>
                <w:color w:val="auto"/>
              </w:rPr>
            </w:pPr>
          </w:p>
        </w:tc>
        <w:tc>
          <w:tcPr>
            <w:tcW w:w="1060" w:type="dxa"/>
            <w:vAlign w:val="bottom"/>
            <w:tcBorders>
              <w:bottom w:val="single" w:sz="8" w:color="auto"/>
            </w:tcBorders>
          </w:tcPr>
          <w:p>
            <w:pPr>
              <w:jc w:val="right"/>
              <w:ind w:right="132"/>
              <w:spacing w:after="0"/>
              <w:rPr>
                <w:sz w:val="20"/>
                <w:szCs w:val="20"/>
                <w:color w:val="auto"/>
              </w:rPr>
            </w:pPr>
            <w:r>
              <w:rPr>
                <w:rFonts w:ascii="Arial" w:cs="Arial" w:eastAsia="Arial" w:hAnsi="Arial"/>
                <w:sz w:val="10"/>
                <w:szCs w:val="10"/>
                <w:b w:val="1"/>
                <w:bCs w:val="1"/>
                <w:color w:val="auto"/>
              </w:rPr>
              <w:t>2026</w:t>
            </w: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center"/>
              <w:ind w:right="132"/>
              <w:spacing w:after="0"/>
              <w:rPr>
                <w:sz w:val="20"/>
                <w:szCs w:val="20"/>
                <w:color w:val="auto"/>
              </w:rPr>
            </w:pPr>
            <w:r>
              <w:rPr>
                <w:rFonts w:ascii="Arial" w:cs="Arial" w:eastAsia="Arial" w:hAnsi="Arial"/>
                <w:sz w:val="10"/>
                <w:szCs w:val="10"/>
                <w:b w:val="1"/>
                <w:bCs w:val="1"/>
                <w:color w:val="auto"/>
                <w:w w:val="98"/>
              </w:rPr>
              <w:t>2025</w:t>
            </w:r>
          </w:p>
        </w:tc>
        <w:tc>
          <w:tcPr>
            <w:tcW w:w="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61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43"/>
        </w:trPr>
        <w:tc>
          <w:tcPr>
            <w:tcW w:w="6520" w:type="dxa"/>
            <w:vAlign w:val="bottom"/>
            <w:shd w:val="clear" w:color="auto" w:fill="CCEEFF"/>
          </w:tcPr>
          <w:p>
            <w:pPr>
              <w:spacing w:after="0"/>
              <w:rPr>
                <w:sz w:val="20"/>
                <w:szCs w:val="20"/>
                <w:color w:val="auto"/>
              </w:rPr>
            </w:pPr>
            <w:r>
              <w:rPr>
                <w:rFonts w:ascii="Arial" w:cs="Arial" w:eastAsia="Arial" w:hAnsi="Arial"/>
                <w:sz w:val="10"/>
                <w:szCs w:val="10"/>
                <w:color w:val="auto"/>
              </w:rPr>
              <w:t>Total noninterest expense</w:t>
            </w:r>
          </w:p>
        </w:tc>
        <w:tc>
          <w:tcPr>
            <w:tcW w:w="1060" w:type="dxa"/>
            <w:vAlign w:val="bottom"/>
            <w:shd w:val="clear" w:color="auto" w:fill="CCEEFF"/>
          </w:tcPr>
          <w:p>
            <w:pPr>
              <w:jc w:val="right"/>
              <w:ind w:right="952"/>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52,437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33,061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31,935</w:t>
            </w:r>
          </w:p>
        </w:tc>
        <w:tc>
          <w:tcPr>
            <w:tcW w:w="0" w:type="dxa"/>
            <w:vAlign w:val="bottom"/>
          </w:tcPr>
          <w:p>
            <w:pPr>
              <w:spacing w:after="0"/>
              <w:rPr>
                <w:sz w:val="1"/>
                <w:szCs w:val="1"/>
                <w:color w:val="auto"/>
              </w:rPr>
            </w:pPr>
          </w:p>
        </w:tc>
      </w:tr>
      <w:tr>
        <w:trPr>
          <w:trHeight w:val="132"/>
        </w:trPr>
        <w:tc>
          <w:tcPr>
            <w:tcW w:w="6520" w:type="dxa"/>
            <w:vAlign w:val="bottom"/>
            <w:tcBorders>
              <w:bottom w:val="single" w:sz="8" w:color="CCEEFF"/>
            </w:tcBorders>
          </w:tcPr>
          <w:p>
            <w:pPr>
              <w:spacing w:after="0"/>
              <w:rPr>
                <w:sz w:val="20"/>
                <w:szCs w:val="20"/>
                <w:color w:val="auto"/>
              </w:rPr>
            </w:pPr>
            <w:r>
              <w:rPr>
                <w:rFonts w:ascii="Arial" w:cs="Arial" w:eastAsia="Arial" w:hAnsi="Arial"/>
                <w:sz w:val="10"/>
                <w:szCs w:val="10"/>
                <w:color w:val="auto"/>
              </w:rPr>
              <w:t>Less: amortization of intangible assets</w:t>
            </w:r>
          </w:p>
        </w:tc>
        <w:tc>
          <w:tcPr>
            <w:tcW w:w="10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887</w:t>
            </w: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643</w:t>
            </w:r>
          </w:p>
        </w:tc>
        <w:tc>
          <w:tcPr>
            <w:tcW w:w="8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695</w:t>
            </w:r>
          </w:p>
        </w:tc>
        <w:tc>
          <w:tcPr>
            <w:tcW w:w="0" w:type="dxa"/>
            <w:vAlign w:val="bottom"/>
          </w:tcPr>
          <w:p>
            <w:pPr>
              <w:spacing w:after="0"/>
              <w:rPr>
                <w:sz w:val="1"/>
                <w:szCs w:val="1"/>
                <w:color w:val="auto"/>
              </w:rPr>
            </w:pPr>
          </w:p>
        </w:tc>
      </w:tr>
      <w:tr>
        <w:trPr>
          <w:trHeight w:val="127"/>
        </w:trPr>
        <w:tc>
          <w:tcPr>
            <w:tcW w:w="6520" w:type="dxa"/>
            <w:vAlign w:val="bottom"/>
            <w:shd w:val="clear" w:color="auto" w:fill="CCEEFF"/>
          </w:tcPr>
          <w:p>
            <w:pPr>
              <w:ind w:left="80"/>
              <w:spacing w:after="0"/>
              <w:rPr>
                <w:sz w:val="20"/>
                <w:szCs w:val="20"/>
                <w:color w:val="auto"/>
              </w:rPr>
            </w:pPr>
            <w:r>
              <w:rPr>
                <w:rFonts w:ascii="Arial" w:cs="Arial" w:eastAsia="Arial" w:hAnsi="Arial"/>
                <w:sz w:val="10"/>
                <w:szCs w:val="10"/>
                <w:b w:val="1"/>
                <w:bCs w:val="1"/>
                <w:color w:val="auto"/>
              </w:rPr>
              <w:t>Noninterest expense excluding amortization of intangible assets</w:t>
            </w:r>
          </w:p>
        </w:tc>
        <w:tc>
          <w:tcPr>
            <w:tcW w:w="106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51,550</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32,418</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31,240</w:t>
            </w:r>
          </w:p>
        </w:tc>
        <w:tc>
          <w:tcPr>
            <w:tcW w:w="0" w:type="dxa"/>
            <w:vAlign w:val="bottom"/>
          </w:tcPr>
          <w:p>
            <w:pPr>
              <w:spacing w:after="0"/>
              <w:rPr>
                <w:sz w:val="1"/>
                <w:szCs w:val="1"/>
                <w:color w:val="auto"/>
              </w:rPr>
            </w:pPr>
          </w:p>
        </w:tc>
      </w:tr>
      <w:tr>
        <w:trPr>
          <w:trHeight w:val="132"/>
        </w:trPr>
        <w:tc>
          <w:tcPr>
            <w:tcW w:w="6520" w:type="dxa"/>
            <w:vAlign w:val="bottom"/>
          </w:tcPr>
          <w:p>
            <w:pPr>
              <w:spacing w:after="0"/>
              <w:rPr>
                <w:sz w:val="20"/>
                <w:szCs w:val="20"/>
                <w:color w:val="auto"/>
              </w:rPr>
            </w:pPr>
            <w:r>
              <w:rPr>
                <w:rFonts w:ascii="Arial" w:cs="Arial" w:eastAsia="Arial" w:hAnsi="Arial"/>
                <w:sz w:val="10"/>
                <w:szCs w:val="10"/>
                <w:color w:val="auto"/>
              </w:rPr>
              <w:t>Less: adjustments to noninterest expense</w:t>
            </w: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520" w:type="dxa"/>
            <w:vAlign w:val="bottom"/>
            <w:shd w:val="clear" w:color="auto" w:fill="CCEEFF"/>
          </w:tcPr>
          <w:p>
            <w:pPr>
              <w:ind w:left="80"/>
              <w:spacing w:after="0"/>
              <w:rPr>
                <w:sz w:val="20"/>
                <w:szCs w:val="20"/>
                <w:color w:val="auto"/>
              </w:rPr>
            </w:pPr>
            <w:r>
              <w:rPr>
                <w:rFonts w:ascii="Arial" w:cs="Arial" w:eastAsia="Arial" w:hAnsi="Arial"/>
                <w:sz w:val="10"/>
                <w:szCs w:val="10"/>
                <w:color w:val="auto"/>
              </w:rPr>
              <w:t>Acquisition expenses</w:t>
            </w:r>
          </w:p>
        </w:tc>
        <w:tc>
          <w:tcPr>
            <w:tcW w:w="10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15,666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999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2"/>
        </w:trPr>
        <w:tc>
          <w:tcPr>
            <w:tcW w:w="6520" w:type="dxa"/>
            <w:vAlign w:val="bottom"/>
          </w:tcPr>
          <w:p>
            <w:pPr>
              <w:ind w:left="80"/>
              <w:spacing w:after="0"/>
              <w:rPr>
                <w:sz w:val="20"/>
                <w:szCs w:val="20"/>
                <w:color w:val="auto"/>
              </w:rPr>
            </w:pPr>
            <w:r>
              <w:rPr>
                <w:rFonts w:ascii="Arial" w:cs="Arial" w:eastAsia="Arial" w:hAnsi="Arial"/>
                <w:sz w:val="10"/>
                <w:szCs w:val="10"/>
                <w:color w:val="auto"/>
              </w:rPr>
              <w:t>Expenses from closed or sold operations</w:t>
            </w:r>
          </w:p>
        </w:tc>
        <w:tc>
          <w:tcPr>
            <w:tcW w:w="1060" w:type="dxa"/>
            <w:vAlign w:val="bottom"/>
          </w:tcPr>
          <w:p>
            <w:pPr>
              <w:spacing w:after="0"/>
              <w:rPr>
                <w:sz w:val="11"/>
                <w:szCs w:val="11"/>
                <w:color w:val="auto"/>
              </w:rPr>
            </w:pPr>
          </w:p>
        </w:tc>
        <w:tc>
          <w:tcPr>
            <w:tcW w:w="480" w:type="dxa"/>
            <w:vAlign w:val="bottom"/>
          </w:tcPr>
          <w:p>
            <w:pPr>
              <w:jc w:val="right"/>
              <w:ind w:right="72"/>
              <w:spacing w:after="0"/>
              <w:rPr>
                <w:sz w:val="20"/>
                <w:szCs w:val="20"/>
                <w:color w:val="auto"/>
              </w:rPr>
            </w:pPr>
            <w:r>
              <w:rPr>
                <w:rFonts w:ascii="Arial" w:cs="Arial" w:eastAsia="Arial" w:hAnsi="Arial"/>
                <w:sz w:val="10"/>
                <w:szCs w:val="10"/>
                <w:color w:val="auto"/>
              </w:rPr>
              <w:t>149</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24"/>
        </w:trPr>
        <w:tc>
          <w:tcPr>
            <w:tcW w:w="65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0"/>
                <w:szCs w:val="10"/>
                <w:color w:val="auto"/>
              </w:rPr>
              <w:t>Total adjustments to noninterest expense</w:t>
            </w:r>
          </w:p>
        </w:tc>
        <w:tc>
          <w:tcPr>
            <w:tcW w:w="1060" w:type="dxa"/>
            <w:vAlign w:val="bottom"/>
            <w:tcBorders>
              <w:top w:val="single" w:sz="8" w:color="auto"/>
              <w:bottom w:val="single" w:sz="8" w:color="auto"/>
            </w:tcBorders>
            <w:shd w:val="clear" w:color="auto" w:fill="CCEEFF"/>
          </w:tcPr>
          <w:p>
            <w:pPr>
              <w:spacing w:after="0"/>
              <w:rPr>
                <w:sz w:val="10"/>
                <w:szCs w:val="10"/>
                <w:color w:val="auto"/>
              </w:rPr>
            </w:pPr>
          </w:p>
        </w:tc>
        <w:tc>
          <w:tcPr>
            <w:tcW w:w="4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15,815</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13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999</w:t>
            </w: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spacing w:after="0"/>
              <w:rPr>
                <w:sz w:val="10"/>
                <w:szCs w:val="10"/>
                <w:color w:val="auto"/>
              </w:rPr>
            </w:pPr>
          </w:p>
        </w:tc>
        <w:tc>
          <w:tcPr>
            <w:tcW w:w="124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3"/>
        </w:trPr>
        <w:tc>
          <w:tcPr>
            <w:tcW w:w="6520" w:type="dxa"/>
            <w:vAlign w:val="bottom"/>
            <w:tcBorders>
              <w:bottom w:val="single" w:sz="8" w:color="CCEEFF"/>
            </w:tcBorders>
          </w:tcPr>
          <w:p>
            <w:pPr>
              <w:ind w:left="80"/>
              <w:spacing w:after="0"/>
              <w:rPr>
                <w:sz w:val="20"/>
                <w:szCs w:val="20"/>
                <w:color w:val="auto"/>
              </w:rPr>
            </w:pPr>
            <w:r>
              <w:rPr>
                <w:rFonts w:ascii="Arial" w:cs="Arial" w:eastAsia="Arial" w:hAnsi="Arial"/>
                <w:sz w:val="10"/>
                <w:szCs w:val="10"/>
                <w:b w:val="1"/>
                <w:bCs w:val="1"/>
                <w:color w:val="auto"/>
              </w:rPr>
              <w:t>Adjusted noninterest expense</w:t>
            </w:r>
          </w:p>
        </w:tc>
        <w:tc>
          <w:tcPr>
            <w:tcW w:w="1060" w:type="dxa"/>
            <w:vAlign w:val="bottom"/>
            <w:tcBorders>
              <w:bottom w:val="single" w:sz="8" w:color="auto"/>
            </w:tcBorders>
          </w:tcPr>
          <w:p>
            <w:pPr>
              <w:jc w:val="right"/>
              <w:ind w:right="95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35,735</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31,419</w:t>
            </w:r>
          </w:p>
        </w:tc>
        <w:tc>
          <w:tcPr>
            <w:tcW w:w="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31,240</w:t>
            </w:r>
          </w:p>
        </w:tc>
        <w:tc>
          <w:tcPr>
            <w:tcW w:w="0" w:type="dxa"/>
            <w:vAlign w:val="bottom"/>
          </w:tcPr>
          <w:p>
            <w:pPr>
              <w:spacing w:after="0"/>
              <w:rPr>
                <w:sz w:val="1"/>
                <w:szCs w:val="1"/>
                <w:color w:val="auto"/>
              </w:rPr>
            </w:pPr>
          </w:p>
        </w:tc>
      </w:tr>
      <w:tr>
        <w:trPr>
          <w:trHeight w:val="126"/>
        </w:trPr>
        <w:tc>
          <w:tcPr>
            <w:tcW w:w="65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6520" w:type="dxa"/>
            <w:vAlign w:val="bottom"/>
          </w:tcPr>
          <w:p>
            <w:pPr>
              <w:spacing w:after="0"/>
              <w:rPr>
                <w:sz w:val="20"/>
                <w:szCs w:val="20"/>
                <w:color w:val="auto"/>
              </w:rPr>
            </w:pPr>
            <w:r>
              <w:rPr>
                <w:rFonts w:ascii="Arial" w:cs="Arial" w:eastAsia="Arial" w:hAnsi="Arial"/>
                <w:sz w:val="10"/>
                <w:szCs w:val="10"/>
                <w:color w:val="auto"/>
              </w:rPr>
              <w:t>Net interest income</w:t>
            </w:r>
          </w:p>
        </w:tc>
        <w:tc>
          <w:tcPr>
            <w:tcW w:w="1060" w:type="dxa"/>
            <w:vAlign w:val="bottom"/>
          </w:tcPr>
          <w:p>
            <w:pPr>
              <w:jc w:val="right"/>
              <w:ind w:right="952"/>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72"/>
              <w:spacing w:after="0"/>
              <w:rPr>
                <w:sz w:val="20"/>
                <w:szCs w:val="20"/>
                <w:color w:val="auto"/>
              </w:rPr>
            </w:pPr>
            <w:r>
              <w:rPr>
                <w:rFonts w:ascii="Arial" w:cs="Arial" w:eastAsia="Arial" w:hAnsi="Arial"/>
                <w:sz w:val="10"/>
                <w:szCs w:val="10"/>
                <w:color w:val="auto"/>
              </w:rPr>
              <w:t>56,387</w:t>
            </w:r>
          </w:p>
        </w:tc>
        <w:tc>
          <w:tcPr>
            <w:tcW w:w="8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72"/>
              <w:spacing w:after="0"/>
              <w:rPr>
                <w:sz w:val="20"/>
                <w:szCs w:val="20"/>
                <w:color w:val="auto"/>
              </w:rPr>
            </w:pPr>
            <w:r>
              <w:rPr>
                <w:rFonts w:ascii="Arial" w:cs="Arial" w:eastAsia="Arial" w:hAnsi="Arial"/>
                <w:sz w:val="10"/>
                <w:szCs w:val="10"/>
                <w:color w:val="auto"/>
              </w:rPr>
              <w:t>50,543</w:t>
            </w:r>
          </w:p>
        </w:tc>
        <w:tc>
          <w:tcPr>
            <w:tcW w:w="80" w:type="dxa"/>
            <w:vAlign w:val="bottom"/>
          </w:tcPr>
          <w:p>
            <w:pPr>
              <w:spacing w:after="0"/>
              <w:rPr>
                <w:sz w:val="11"/>
                <w:szCs w:val="11"/>
                <w:color w:val="auto"/>
              </w:rPr>
            </w:pPr>
          </w:p>
        </w:tc>
        <w:tc>
          <w:tcPr>
            <w:tcW w:w="300" w:type="dxa"/>
            <w:vAlign w:val="bottom"/>
          </w:tcPr>
          <w:p>
            <w:pPr>
              <w:jc w:val="right"/>
              <w:ind w:right="192"/>
              <w:spacing w:after="0"/>
              <w:rPr>
                <w:sz w:val="20"/>
                <w:szCs w:val="20"/>
                <w:color w:val="auto"/>
              </w:rPr>
            </w:pPr>
            <w:r>
              <w:rPr>
                <w:rFonts w:ascii="Arial" w:cs="Arial" w:eastAsia="Arial" w:hAnsi="Arial"/>
                <w:sz w:val="10"/>
                <w:szCs w:val="10"/>
                <w:color w:val="auto"/>
                <w:w w:val="71"/>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48,708</w:t>
            </w:r>
          </w:p>
        </w:tc>
        <w:tc>
          <w:tcPr>
            <w:tcW w:w="0" w:type="dxa"/>
            <w:vAlign w:val="bottom"/>
          </w:tcPr>
          <w:p>
            <w:pPr>
              <w:spacing w:after="0"/>
              <w:rPr>
                <w:sz w:val="1"/>
                <w:szCs w:val="1"/>
                <w:color w:val="auto"/>
              </w:rPr>
            </w:pPr>
          </w:p>
        </w:tc>
      </w:tr>
      <w:tr>
        <w:trPr>
          <w:trHeight w:val="138"/>
        </w:trPr>
        <w:tc>
          <w:tcPr>
            <w:tcW w:w="6520" w:type="dxa"/>
            <w:vAlign w:val="bottom"/>
            <w:shd w:val="clear" w:color="auto" w:fill="CCEEFF"/>
          </w:tcPr>
          <w:p>
            <w:pPr>
              <w:spacing w:after="0"/>
              <w:rPr>
                <w:sz w:val="20"/>
                <w:szCs w:val="20"/>
                <w:color w:val="auto"/>
              </w:rPr>
            </w:pPr>
            <w:r>
              <w:rPr>
                <w:rFonts w:ascii="Arial" w:cs="Arial" w:eastAsia="Arial" w:hAnsi="Arial"/>
                <w:sz w:val="10"/>
                <w:szCs w:val="10"/>
                <w:color w:val="auto"/>
              </w:rPr>
              <w:t>Total noninterest income</w:t>
            </w:r>
          </w:p>
        </w:tc>
        <w:tc>
          <w:tcPr>
            <w:tcW w:w="10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10,944</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9,895</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9,306</w:t>
            </w:r>
          </w:p>
        </w:tc>
        <w:tc>
          <w:tcPr>
            <w:tcW w:w="0" w:type="dxa"/>
            <w:vAlign w:val="bottom"/>
          </w:tcPr>
          <w:p>
            <w:pPr>
              <w:spacing w:after="0"/>
              <w:rPr>
                <w:sz w:val="1"/>
                <w:szCs w:val="1"/>
                <w:color w:val="auto"/>
              </w:rPr>
            </w:pPr>
          </w:p>
        </w:tc>
      </w:tr>
      <w:tr>
        <w:trPr>
          <w:trHeight w:val="123"/>
        </w:trPr>
        <w:tc>
          <w:tcPr>
            <w:tcW w:w="6520" w:type="dxa"/>
            <w:vAlign w:val="bottom"/>
          </w:tcPr>
          <w:p>
            <w:pPr>
              <w:ind w:left="80"/>
              <w:spacing w:after="0"/>
              <w:rPr>
                <w:sz w:val="20"/>
                <w:szCs w:val="20"/>
                <w:color w:val="auto"/>
              </w:rPr>
            </w:pPr>
            <w:r>
              <w:rPr>
                <w:rFonts w:ascii="Arial" w:cs="Arial" w:eastAsia="Arial" w:hAnsi="Arial"/>
                <w:sz w:val="10"/>
                <w:szCs w:val="10"/>
                <w:b w:val="1"/>
                <w:bCs w:val="1"/>
                <w:color w:val="auto"/>
              </w:rPr>
              <w:t>Operating revenue</w:t>
            </w:r>
          </w:p>
        </w:tc>
        <w:tc>
          <w:tcPr>
            <w:tcW w:w="106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Arial" w:cs="Arial" w:eastAsia="Arial" w:hAnsi="Arial"/>
                <w:sz w:val="10"/>
                <w:szCs w:val="10"/>
                <w:color w:val="auto"/>
              </w:rPr>
              <w:t>67,331</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tcPr>
          <w:p>
            <w:pPr>
              <w:jc w:val="right"/>
              <w:ind w:right="72"/>
              <w:spacing w:after="0"/>
              <w:rPr>
                <w:sz w:val="20"/>
                <w:szCs w:val="20"/>
                <w:color w:val="auto"/>
              </w:rPr>
            </w:pPr>
            <w:r>
              <w:rPr>
                <w:rFonts w:ascii="Arial" w:cs="Arial" w:eastAsia="Arial" w:hAnsi="Arial"/>
                <w:sz w:val="10"/>
                <w:szCs w:val="10"/>
                <w:color w:val="auto"/>
              </w:rPr>
              <w:t>60,438</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58,014</w:t>
            </w:r>
          </w:p>
        </w:tc>
        <w:tc>
          <w:tcPr>
            <w:tcW w:w="0" w:type="dxa"/>
            <w:vAlign w:val="bottom"/>
          </w:tcPr>
          <w:p>
            <w:pPr>
              <w:spacing w:after="0"/>
              <w:rPr>
                <w:sz w:val="1"/>
                <w:szCs w:val="1"/>
                <w:color w:val="auto"/>
              </w:rPr>
            </w:pPr>
          </w:p>
        </w:tc>
      </w:tr>
      <w:tr>
        <w:trPr>
          <w:trHeight w:val="136"/>
        </w:trPr>
        <w:tc>
          <w:tcPr>
            <w:tcW w:w="6520" w:type="dxa"/>
            <w:vAlign w:val="bottom"/>
            <w:shd w:val="clear" w:color="auto" w:fill="CCEEFF"/>
          </w:tcPr>
          <w:p>
            <w:pPr>
              <w:spacing w:after="0" w:line="136" w:lineRule="exact"/>
              <w:rPr>
                <w:sz w:val="20"/>
                <w:szCs w:val="20"/>
                <w:color w:val="auto"/>
              </w:rPr>
            </w:pPr>
            <w:r>
              <w:rPr>
                <w:rFonts w:ascii="Arial" w:cs="Arial" w:eastAsia="Arial" w:hAnsi="Arial"/>
                <w:sz w:val="10"/>
                <w:szCs w:val="10"/>
                <w:color w:val="auto"/>
              </w:rPr>
              <w:t xml:space="preserve">Tax-equivalent adjustment </w:t>
            </w:r>
            <w:r>
              <w:rPr>
                <w:rFonts w:ascii="Arial" w:cs="Arial" w:eastAsia="Arial" w:hAnsi="Arial"/>
                <w:sz w:val="12"/>
                <w:szCs w:val="12"/>
                <w:color w:val="auto"/>
                <w:vertAlign w:val="superscript"/>
              </w:rPr>
              <w:t>(1)</w:t>
            </w:r>
          </w:p>
        </w:tc>
        <w:tc>
          <w:tcPr>
            <w:tcW w:w="1060" w:type="dxa"/>
            <w:vAlign w:val="bottom"/>
            <w:tcBorders>
              <w:bottom w:val="single" w:sz="8" w:color="auto"/>
            </w:tcBorders>
            <w:shd w:val="clear" w:color="auto" w:fill="CCEEFF"/>
          </w:tcPr>
          <w:p>
            <w:pPr>
              <w:spacing w:after="0"/>
              <w:rPr>
                <w:sz w:val="11"/>
                <w:szCs w:val="11"/>
                <w:color w:val="auto"/>
              </w:rPr>
            </w:pPr>
          </w:p>
        </w:tc>
        <w:tc>
          <w:tcPr>
            <w:tcW w:w="4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649</w:t>
            </w:r>
          </w:p>
        </w:tc>
        <w:tc>
          <w:tcPr>
            <w:tcW w:w="8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558</w:t>
            </w:r>
          </w:p>
        </w:tc>
        <w:tc>
          <w:tcPr>
            <w:tcW w:w="80" w:type="dxa"/>
            <w:vAlign w:val="bottom"/>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545</w:t>
            </w:r>
          </w:p>
        </w:tc>
        <w:tc>
          <w:tcPr>
            <w:tcW w:w="0" w:type="dxa"/>
            <w:vAlign w:val="bottom"/>
          </w:tcPr>
          <w:p>
            <w:pPr>
              <w:spacing w:after="0"/>
              <w:rPr>
                <w:sz w:val="1"/>
                <w:szCs w:val="1"/>
                <w:color w:val="auto"/>
              </w:rPr>
            </w:pPr>
          </w:p>
        </w:tc>
      </w:tr>
      <w:tr>
        <w:trPr>
          <w:trHeight w:val="124"/>
        </w:trPr>
        <w:tc>
          <w:tcPr>
            <w:tcW w:w="6520" w:type="dxa"/>
            <w:vAlign w:val="bottom"/>
          </w:tcPr>
          <w:p>
            <w:pPr>
              <w:ind w:left="80"/>
              <w:spacing w:after="0" w:line="124" w:lineRule="exact"/>
              <w:rPr>
                <w:sz w:val="20"/>
                <w:szCs w:val="20"/>
                <w:color w:val="auto"/>
              </w:rPr>
            </w:pPr>
            <w:r>
              <w:rPr>
                <w:rFonts w:ascii="Arial" w:cs="Arial" w:eastAsia="Arial" w:hAnsi="Arial"/>
                <w:sz w:val="10"/>
                <w:szCs w:val="10"/>
                <w:b w:val="1"/>
                <w:bCs w:val="1"/>
                <w:color w:val="auto"/>
              </w:rPr>
              <w:t xml:space="preserve">Operating revenue (tax-equivalent basis) </w:t>
            </w:r>
            <w:r>
              <w:rPr>
                <w:rFonts w:ascii="Arial" w:cs="Arial" w:eastAsia="Arial" w:hAnsi="Arial"/>
                <w:sz w:val="12"/>
                <w:szCs w:val="12"/>
                <w:b w:val="1"/>
                <w:bCs w:val="1"/>
                <w:color w:val="auto"/>
                <w:vertAlign w:val="superscript"/>
              </w:rPr>
              <w:t>(1)</w:t>
            </w:r>
          </w:p>
        </w:tc>
        <w:tc>
          <w:tcPr>
            <w:tcW w:w="1060" w:type="dxa"/>
            <w:vAlign w:val="bottom"/>
          </w:tcPr>
          <w:p>
            <w:pPr>
              <w:spacing w:after="0"/>
              <w:rPr>
                <w:sz w:val="10"/>
                <w:szCs w:val="10"/>
                <w:color w:val="auto"/>
              </w:rPr>
            </w:pPr>
          </w:p>
        </w:tc>
        <w:tc>
          <w:tcPr>
            <w:tcW w:w="480" w:type="dxa"/>
            <w:vAlign w:val="bottom"/>
          </w:tcPr>
          <w:p>
            <w:pPr>
              <w:jc w:val="right"/>
              <w:ind w:right="72"/>
              <w:spacing w:after="0"/>
              <w:rPr>
                <w:sz w:val="20"/>
                <w:szCs w:val="20"/>
                <w:color w:val="auto"/>
              </w:rPr>
            </w:pPr>
            <w:r>
              <w:rPr>
                <w:rFonts w:ascii="Arial" w:cs="Arial" w:eastAsia="Arial" w:hAnsi="Arial"/>
                <w:sz w:val="10"/>
                <w:szCs w:val="10"/>
                <w:color w:val="auto"/>
              </w:rPr>
              <w:t>67,980</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tcPr>
          <w:p>
            <w:pPr>
              <w:jc w:val="right"/>
              <w:ind w:right="72"/>
              <w:spacing w:after="0"/>
              <w:rPr>
                <w:sz w:val="20"/>
                <w:szCs w:val="20"/>
                <w:color w:val="auto"/>
              </w:rPr>
            </w:pPr>
            <w:r>
              <w:rPr>
                <w:rFonts w:ascii="Arial" w:cs="Arial" w:eastAsia="Arial" w:hAnsi="Arial"/>
                <w:sz w:val="10"/>
                <w:szCs w:val="10"/>
                <w:color w:val="auto"/>
              </w:rPr>
              <w:t>60,996</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58,559</w:t>
            </w:r>
          </w:p>
        </w:tc>
        <w:tc>
          <w:tcPr>
            <w:tcW w:w="0" w:type="dxa"/>
            <w:vAlign w:val="bottom"/>
          </w:tcPr>
          <w:p>
            <w:pPr>
              <w:spacing w:after="0"/>
              <w:rPr>
                <w:sz w:val="1"/>
                <w:szCs w:val="1"/>
                <w:color w:val="auto"/>
              </w:rPr>
            </w:pP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0"/>
                <w:szCs w:val="10"/>
                <w:color w:val="auto"/>
              </w:rPr>
              <w:t>Less: adjustments to noninterest income</w:t>
            </w:r>
          </w:p>
        </w:tc>
        <w:tc>
          <w:tcPr>
            <w:tcW w:w="10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6520" w:type="dxa"/>
            <w:vAlign w:val="bottom"/>
          </w:tcPr>
          <w:p>
            <w:pPr>
              <w:ind w:left="80"/>
              <w:spacing w:after="0"/>
              <w:rPr>
                <w:sz w:val="20"/>
                <w:szCs w:val="20"/>
                <w:color w:val="auto"/>
              </w:rPr>
            </w:pPr>
            <w:r>
              <w:rPr>
                <w:rFonts w:ascii="Arial" w:cs="Arial" w:eastAsia="Arial" w:hAnsi="Arial"/>
                <w:sz w:val="10"/>
                <w:szCs w:val="10"/>
                <w:color w:val="auto"/>
              </w:rPr>
              <w:t>Revenue from closed or sold operations</w:t>
            </w:r>
          </w:p>
        </w:tc>
        <w:tc>
          <w:tcPr>
            <w:tcW w:w="1060" w:type="dxa"/>
            <w:vAlign w:val="bottom"/>
          </w:tcPr>
          <w:p>
            <w:pPr>
              <w:spacing w:after="0"/>
              <w:rPr>
                <w:sz w:val="11"/>
                <w:szCs w:val="11"/>
                <w:color w:val="auto"/>
              </w:rPr>
            </w:pPr>
          </w:p>
        </w:tc>
        <w:tc>
          <w:tcPr>
            <w:tcW w:w="480" w:type="dxa"/>
            <w:vAlign w:val="bottom"/>
          </w:tcPr>
          <w:p>
            <w:pPr>
              <w:jc w:val="right"/>
              <w:ind w:right="72"/>
              <w:spacing w:after="0"/>
              <w:rPr>
                <w:sz w:val="20"/>
                <w:szCs w:val="20"/>
                <w:color w:val="auto"/>
              </w:rPr>
            </w:pPr>
            <w:r>
              <w:rPr>
                <w:rFonts w:ascii="Arial" w:cs="Arial" w:eastAsia="Arial" w:hAnsi="Arial"/>
                <w:sz w:val="10"/>
                <w:szCs w:val="10"/>
                <w:color w:val="auto"/>
              </w:rPr>
              <w:t>153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6520" w:type="dxa"/>
            <w:vAlign w:val="bottom"/>
            <w:shd w:val="clear" w:color="auto" w:fill="CCEEFF"/>
          </w:tcPr>
          <w:p>
            <w:pPr>
              <w:ind w:left="80"/>
              <w:spacing w:after="0"/>
              <w:rPr>
                <w:sz w:val="20"/>
                <w:szCs w:val="20"/>
                <w:color w:val="auto"/>
              </w:rPr>
            </w:pPr>
            <w:r>
              <w:rPr>
                <w:rFonts w:ascii="Arial" w:cs="Arial" w:eastAsia="Arial" w:hAnsi="Arial"/>
                <w:sz w:val="10"/>
                <w:szCs w:val="10"/>
                <w:color w:val="auto"/>
              </w:rPr>
              <w:t>Gains (losses) on closed branch premises</w:t>
            </w:r>
          </w:p>
        </w:tc>
        <w:tc>
          <w:tcPr>
            <w:tcW w:w="10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(210)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w:t>
            </w:r>
          </w:p>
        </w:tc>
        <w:tc>
          <w:tcPr>
            <w:tcW w:w="30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w:t>
            </w:r>
          </w:p>
        </w:tc>
        <w:tc>
          <w:tcPr>
            <w:tcW w:w="0" w:type="dxa"/>
            <w:vAlign w:val="bottom"/>
          </w:tcPr>
          <w:p>
            <w:pPr>
              <w:spacing w:after="0"/>
              <w:rPr>
                <w:sz w:val="1"/>
                <w:szCs w:val="1"/>
                <w:color w:val="auto"/>
              </w:rPr>
            </w:pPr>
          </w:p>
        </w:tc>
      </w:tr>
      <w:tr>
        <w:trPr>
          <w:trHeight w:val="132"/>
        </w:trPr>
        <w:tc>
          <w:tcPr>
            <w:tcW w:w="6520" w:type="dxa"/>
            <w:vAlign w:val="bottom"/>
          </w:tcPr>
          <w:p>
            <w:pPr>
              <w:ind w:left="80"/>
              <w:spacing w:after="0"/>
              <w:rPr>
                <w:sz w:val="20"/>
                <w:szCs w:val="20"/>
                <w:color w:val="auto"/>
              </w:rPr>
            </w:pPr>
            <w:r>
              <w:rPr>
                <w:rFonts w:ascii="Arial" w:cs="Arial" w:eastAsia="Arial" w:hAnsi="Arial"/>
                <w:sz w:val="10"/>
                <w:szCs w:val="10"/>
                <w:color w:val="auto"/>
              </w:rPr>
              <w:t>Realized gains (losses) on sales of securities</w:t>
            </w:r>
          </w:p>
        </w:tc>
        <w:tc>
          <w:tcPr>
            <w:tcW w:w="1060" w:type="dxa"/>
            <w:vAlign w:val="bottom"/>
          </w:tcPr>
          <w:p>
            <w:pPr>
              <w:spacing w:after="0"/>
              <w:rPr>
                <w:sz w:val="11"/>
                <w:szCs w:val="1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1360" w:type="dxa"/>
            <w:vAlign w:val="bottom"/>
          </w:tcPr>
          <w:p>
            <w:pPr>
              <w:jc w:val="right"/>
              <w:ind w:right="52"/>
              <w:spacing w:after="0"/>
              <w:rPr>
                <w:sz w:val="20"/>
                <w:szCs w:val="20"/>
                <w:color w:val="auto"/>
              </w:rPr>
            </w:pPr>
            <w:r>
              <w:rPr>
                <w:rFonts w:ascii="Arial" w:cs="Arial" w:eastAsia="Arial" w:hAnsi="Arial"/>
                <w:sz w:val="10"/>
                <w:szCs w:val="10"/>
                <w:color w:val="auto"/>
              </w:rPr>
              <w:t>(151)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6520" w:type="dxa"/>
            <w:vAlign w:val="bottom"/>
            <w:shd w:val="clear" w:color="auto" w:fill="CCEEFF"/>
          </w:tcPr>
          <w:p>
            <w:pPr>
              <w:ind w:left="80"/>
              <w:spacing w:after="0"/>
              <w:rPr>
                <w:sz w:val="20"/>
                <w:szCs w:val="20"/>
                <w:color w:val="auto"/>
              </w:rPr>
            </w:pPr>
            <w:r>
              <w:rPr>
                <w:rFonts w:ascii="Arial" w:cs="Arial" w:eastAsia="Arial" w:hAnsi="Arial"/>
                <w:sz w:val="10"/>
                <w:szCs w:val="10"/>
                <w:color w:val="auto"/>
              </w:rPr>
              <w:t>Mortgage servicing rights fair value adjustment</w:t>
            </w:r>
          </w:p>
        </w:tc>
        <w:tc>
          <w:tcPr>
            <w:tcW w:w="10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197</w:t>
            </w:r>
          </w:p>
        </w:tc>
        <w:tc>
          <w:tcPr>
            <w:tcW w:w="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13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(310)</w:t>
            </w:r>
          </w:p>
        </w:tc>
        <w:tc>
          <w:tcPr>
            <w:tcW w:w="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0"/>
                <w:szCs w:val="10"/>
                <w:color w:val="auto"/>
              </w:rPr>
              <w:t>(308)</w:t>
            </w:r>
          </w:p>
        </w:tc>
        <w:tc>
          <w:tcPr>
            <w:tcW w:w="0" w:type="dxa"/>
            <w:vAlign w:val="bottom"/>
          </w:tcPr>
          <w:p>
            <w:pPr>
              <w:spacing w:after="0"/>
              <w:rPr>
                <w:sz w:val="1"/>
                <w:szCs w:val="1"/>
                <w:color w:val="auto"/>
              </w:rPr>
            </w:pPr>
          </w:p>
        </w:tc>
      </w:tr>
      <w:tr>
        <w:trPr>
          <w:trHeight w:val="121"/>
        </w:trPr>
        <w:tc>
          <w:tcPr>
            <w:tcW w:w="6520" w:type="dxa"/>
            <w:vAlign w:val="bottom"/>
            <w:tcBorders>
              <w:bottom w:val="single" w:sz="8" w:color="CCEEFF"/>
            </w:tcBorders>
          </w:tcPr>
          <w:p>
            <w:pPr>
              <w:ind w:left="140"/>
              <w:spacing w:after="0"/>
              <w:rPr>
                <w:sz w:val="20"/>
                <w:szCs w:val="20"/>
                <w:color w:val="auto"/>
              </w:rPr>
            </w:pPr>
            <w:r>
              <w:rPr>
                <w:rFonts w:ascii="Arial" w:cs="Arial" w:eastAsia="Arial" w:hAnsi="Arial"/>
                <w:sz w:val="10"/>
                <w:szCs w:val="10"/>
                <w:color w:val="auto"/>
              </w:rPr>
              <w:t>Total adjustments to noninterest income</w:t>
            </w:r>
          </w:p>
        </w:tc>
        <w:tc>
          <w:tcPr>
            <w:tcW w:w="10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140</w:t>
            </w:r>
          </w:p>
        </w:tc>
        <w:tc>
          <w:tcPr>
            <w:tcW w:w="8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(461)</w:t>
            </w:r>
          </w:p>
        </w:tc>
        <w:tc>
          <w:tcPr>
            <w:tcW w:w="80" w:type="dxa"/>
            <w:vAlign w:val="bottom"/>
            <w:tcBorders>
              <w:bottom w:val="single" w:sz="8" w:color="CCEEFF"/>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(249)</w:t>
            </w:r>
          </w:p>
        </w:tc>
        <w:tc>
          <w:tcPr>
            <w:tcW w:w="0" w:type="dxa"/>
            <w:vAlign w:val="bottom"/>
          </w:tcPr>
          <w:p>
            <w:pPr>
              <w:spacing w:after="0"/>
              <w:rPr>
                <w:sz w:val="1"/>
                <w:szCs w:val="1"/>
                <w:color w:val="auto"/>
              </w:rPr>
            </w:pPr>
          </w:p>
        </w:tc>
      </w:tr>
      <w:tr>
        <w:trPr>
          <w:trHeight w:val="143"/>
        </w:trPr>
        <w:tc>
          <w:tcPr>
            <w:tcW w:w="6520" w:type="dxa"/>
            <w:vAlign w:val="bottom"/>
            <w:tcBorders>
              <w:bottom w:val="single" w:sz="8" w:color="CCEEFF"/>
            </w:tcBorders>
            <w:shd w:val="clear" w:color="auto" w:fill="CCEEFF"/>
          </w:tcPr>
          <w:p>
            <w:pPr>
              <w:ind w:left="80"/>
              <w:spacing w:after="0" w:line="127" w:lineRule="exact"/>
              <w:rPr>
                <w:sz w:val="20"/>
                <w:szCs w:val="20"/>
                <w:color w:val="auto"/>
              </w:rPr>
            </w:pPr>
            <w:r>
              <w:rPr>
                <w:rFonts w:ascii="Arial" w:cs="Arial" w:eastAsia="Arial" w:hAnsi="Arial"/>
                <w:sz w:val="10"/>
                <w:szCs w:val="10"/>
                <w:b w:val="1"/>
                <w:bCs w:val="1"/>
                <w:color w:val="auto"/>
              </w:rPr>
              <w:t xml:space="preserve">Adjusted operating revenue (tax-equivalent basis) </w:t>
            </w:r>
            <w:r>
              <w:rPr>
                <w:rFonts w:ascii="Arial" w:cs="Arial" w:eastAsia="Arial" w:hAnsi="Arial"/>
                <w:sz w:val="12"/>
                <w:szCs w:val="12"/>
                <w:b w:val="1"/>
                <w:bCs w:val="1"/>
                <w:color w:val="auto"/>
                <w:vertAlign w:val="superscript"/>
              </w:rPr>
              <w:t>(1)</w:t>
            </w:r>
          </w:p>
        </w:tc>
        <w:tc>
          <w:tcPr>
            <w:tcW w:w="1060" w:type="dxa"/>
            <w:vAlign w:val="bottom"/>
            <w:tcBorders>
              <w:bottom w:val="single" w:sz="8" w:color="auto"/>
            </w:tcBorders>
            <w:shd w:val="clear" w:color="auto" w:fill="CCEEFF"/>
          </w:tcPr>
          <w:p>
            <w:pPr>
              <w:jc w:val="right"/>
              <w:ind w:right="952"/>
              <w:spacing w:after="0"/>
              <w:rPr>
                <w:sz w:val="20"/>
                <w:szCs w:val="20"/>
                <w:color w:val="auto"/>
              </w:rPr>
            </w:pPr>
            <w:r>
              <w:rPr>
                <w:rFonts w:ascii="Arial" w:cs="Arial" w:eastAsia="Arial" w:hAnsi="Arial"/>
                <w:sz w:val="10"/>
                <w:szCs w:val="10"/>
                <w:color w:val="auto"/>
                <w:w w:val="71"/>
              </w:rPr>
              <w:t>$</w:t>
            </w:r>
          </w:p>
        </w:tc>
        <w:tc>
          <w:tcPr>
            <w:tcW w:w="4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67,840</w:t>
            </w:r>
          </w:p>
        </w:tc>
        <w:tc>
          <w:tcPr>
            <w:tcW w:w="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61,457</w:t>
            </w: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0"/>
                <w:szCs w:val="10"/>
                <w:color w:val="auto"/>
              </w:rPr>
              <w:t>58,808</w:t>
            </w:r>
          </w:p>
        </w:tc>
        <w:tc>
          <w:tcPr>
            <w:tcW w:w="0" w:type="dxa"/>
            <w:vAlign w:val="bottom"/>
          </w:tcPr>
          <w:p>
            <w:pPr>
              <w:spacing w:after="0"/>
              <w:rPr>
                <w:sz w:val="1"/>
                <w:szCs w:val="1"/>
                <w:color w:val="auto"/>
              </w:rPr>
            </w:pPr>
          </w:p>
        </w:tc>
      </w:tr>
      <w:tr>
        <w:trPr>
          <w:trHeight w:val="126"/>
        </w:trPr>
        <w:tc>
          <w:tcPr>
            <w:tcW w:w="65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520" w:type="dxa"/>
            <w:vAlign w:val="bottom"/>
            <w:shd w:val="clear" w:color="auto" w:fill="CCEEFF"/>
          </w:tcPr>
          <w:p>
            <w:pPr>
              <w:spacing w:after="0"/>
              <w:rPr>
                <w:sz w:val="20"/>
                <w:szCs w:val="20"/>
                <w:color w:val="auto"/>
              </w:rPr>
            </w:pPr>
            <w:r>
              <w:rPr>
                <w:rFonts w:ascii="Arial" w:cs="Arial" w:eastAsia="Arial" w:hAnsi="Arial"/>
                <w:sz w:val="10"/>
                <w:szCs w:val="10"/>
                <w:color w:val="auto"/>
              </w:rPr>
              <w:t>Efficiency ratio</w:t>
            </w:r>
          </w:p>
        </w:tc>
        <w:tc>
          <w:tcPr>
            <w:tcW w:w="106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76.56 %</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53.64 %</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53.85 %</w:t>
            </w:r>
          </w:p>
        </w:tc>
        <w:tc>
          <w:tcPr>
            <w:tcW w:w="0" w:type="dxa"/>
            <w:vAlign w:val="bottom"/>
          </w:tcPr>
          <w:p>
            <w:pPr>
              <w:spacing w:after="0"/>
              <w:rPr>
                <w:sz w:val="1"/>
                <w:szCs w:val="1"/>
                <w:color w:val="auto"/>
              </w:rPr>
            </w:pPr>
          </w:p>
        </w:tc>
      </w:tr>
      <w:tr>
        <w:trPr>
          <w:trHeight w:val="135"/>
        </w:trPr>
        <w:tc>
          <w:tcPr>
            <w:tcW w:w="6520" w:type="dxa"/>
            <w:vAlign w:val="bottom"/>
          </w:tcPr>
          <w:p>
            <w:pPr>
              <w:spacing w:after="0" w:line="135" w:lineRule="exact"/>
              <w:rPr>
                <w:sz w:val="20"/>
                <w:szCs w:val="20"/>
                <w:color w:val="auto"/>
              </w:rPr>
            </w:pPr>
            <w:r>
              <w:rPr>
                <w:rFonts w:ascii="Arial" w:cs="Arial" w:eastAsia="Arial" w:hAnsi="Arial"/>
                <w:sz w:val="10"/>
                <w:szCs w:val="10"/>
                <w:color w:val="auto"/>
              </w:rPr>
              <w:t xml:space="preserve">Efficiency ratio (tax-equivalent basis) </w:t>
            </w:r>
            <w:r>
              <w:rPr>
                <w:rFonts w:ascii="Arial" w:cs="Arial" w:eastAsia="Arial" w:hAnsi="Arial"/>
                <w:sz w:val="12"/>
                <w:szCs w:val="12"/>
                <w:color w:val="auto"/>
                <w:vertAlign w:val="superscript"/>
              </w:rPr>
              <w:t>(1)</w:t>
            </w:r>
          </w:p>
        </w:tc>
        <w:tc>
          <w:tcPr>
            <w:tcW w:w="1060" w:type="dxa"/>
            <w:vAlign w:val="bottom"/>
          </w:tcPr>
          <w:p>
            <w:pPr>
              <w:spacing w:after="0"/>
              <w:rPr>
                <w:sz w:val="11"/>
                <w:szCs w:val="11"/>
                <w:color w:val="auto"/>
              </w:rPr>
            </w:pPr>
          </w:p>
        </w:tc>
        <w:tc>
          <w:tcPr>
            <w:tcW w:w="480" w:type="dxa"/>
            <w:vAlign w:val="bottom"/>
          </w:tcPr>
          <w:p>
            <w:pPr>
              <w:jc w:val="right"/>
              <w:ind w:right="72"/>
              <w:spacing w:after="0"/>
              <w:rPr>
                <w:sz w:val="20"/>
                <w:szCs w:val="20"/>
                <w:color w:val="auto"/>
              </w:rPr>
            </w:pPr>
            <w:r>
              <w:rPr>
                <w:rFonts w:ascii="Arial" w:cs="Arial" w:eastAsia="Arial" w:hAnsi="Arial"/>
                <w:sz w:val="10"/>
                <w:szCs w:val="10"/>
                <w:color w:val="auto"/>
              </w:rPr>
              <w:t>75.83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jc w:val="right"/>
              <w:ind w:right="72"/>
              <w:spacing w:after="0"/>
              <w:rPr>
                <w:sz w:val="20"/>
                <w:szCs w:val="20"/>
                <w:color w:val="auto"/>
              </w:rPr>
            </w:pPr>
            <w:r>
              <w:rPr>
                <w:rFonts w:ascii="Arial" w:cs="Arial" w:eastAsia="Arial" w:hAnsi="Arial"/>
                <w:sz w:val="10"/>
                <w:szCs w:val="10"/>
                <w:color w:val="auto"/>
              </w:rPr>
              <w:t>53.15</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53.35</w:t>
            </w:r>
          </w:p>
        </w:tc>
        <w:tc>
          <w:tcPr>
            <w:tcW w:w="0" w:type="dxa"/>
            <w:vAlign w:val="bottom"/>
          </w:tcPr>
          <w:p>
            <w:pPr>
              <w:spacing w:after="0"/>
              <w:rPr>
                <w:sz w:val="1"/>
                <w:szCs w:val="1"/>
                <w:color w:val="auto"/>
              </w:rPr>
            </w:pPr>
          </w:p>
        </w:tc>
      </w:tr>
      <w:tr>
        <w:trPr>
          <w:trHeight w:val="135"/>
        </w:trPr>
        <w:tc>
          <w:tcPr>
            <w:tcW w:w="6520" w:type="dxa"/>
            <w:vAlign w:val="bottom"/>
            <w:shd w:val="clear" w:color="auto" w:fill="CCEEFF"/>
          </w:tcPr>
          <w:p>
            <w:pPr>
              <w:spacing w:after="0" w:line="135" w:lineRule="exact"/>
              <w:rPr>
                <w:sz w:val="20"/>
                <w:szCs w:val="20"/>
                <w:color w:val="auto"/>
              </w:rPr>
            </w:pPr>
            <w:r>
              <w:rPr>
                <w:rFonts w:ascii="Arial" w:cs="Arial" w:eastAsia="Arial" w:hAnsi="Arial"/>
                <w:sz w:val="10"/>
                <w:szCs w:val="10"/>
                <w:color w:val="auto"/>
              </w:rPr>
              <w:t xml:space="preserve">Adjusted efficiency ratio (tax-equivalent basis) </w:t>
            </w:r>
            <w:r>
              <w:rPr>
                <w:rFonts w:ascii="Arial" w:cs="Arial" w:eastAsia="Arial" w:hAnsi="Arial"/>
                <w:sz w:val="12"/>
                <w:szCs w:val="12"/>
                <w:color w:val="auto"/>
                <w:vertAlign w:val="superscript"/>
              </w:rPr>
              <w:t>(1)</w:t>
            </w:r>
          </w:p>
        </w:tc>
        <w:tc>
          <w:tcPr>
            <w:tcW w:w="106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52.68</w:t>
            </w: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6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51.12</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53.12</w:t>
            </w: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____________________________________</w:t>
      </w:r>
    </w:p>
    <w:p>
      <w:pPr>
        <w:spacing w:after="0" w:line="10" w:lineRule="exact"/>
        <w:rPr>
          <w:sz w:val="20"/>
          <w:szCs w:val="20"/>
          <w:color w:val="auto"/>
        </w:rPr>
      </w:pPr>
    </w:p>
    <w:p>
      <w:pPr>
        <w:spacing w:after="0"/>
        <w:tabs>
          <w:tab w:leader="none" w:pos="180" w:val="left"/>
        </w:tabs>
        <w:rPr>
          <w:sz w:val="20"/>
          <w:szCs w:val="20"/>
          <w:color w:val="auto"/>
        </w:rPr>
      </w:pPr>
      <w:r>
        <w:rPr>
          <w:rFonts w:ascii="Arial" w:cs="Arial" w:eastAsia="Arial" w:hAnsi="Arial"/>
          <w:sz w:val="10"/>
          <w:szCs w:val="10"/>
          <w:color w:val="auto"/>
        </w:rPr>
        <w:t>(1)</w:t>
      </w:r>
      <w:r>
        <w:rPr>
          <w:sz w:val="20"/>
          <w:szCs w:val="20"/>
          <w:color w:val="auto"/>
        </w:rPr>
        <w:tab/>
      </w:r>
      <w:r>
        <w:rPr>
          <w:rFonts w:ascii="Arial" w:cs="Arial" w:eastAsia="Arial" w:hAnsi="Arial"/>
          <w:sz w:val="8"/>
          <w:szCs w:val="8"/>
          <w:color w:val="auto"/>
        </w:rPr>
        <w:t>On a tax-equivalent basis assuming a federal income tax rate of 21% and a state tax rate of 9.5%.</w:t>
      </w:r>
    </w:p>
    <w:p>
      <w:pPr>
        <w:sectPr>
          <w:pgSz w:w="11900" w:h="16838" w:orient="portrait"/>
          <w:cols w:equalWidth="0" w:num="1">
            <w:col w:w="11300"/>
          </w:cols>
          <w:pgMar w:left="300" w:top="135" w:right="299" w:bottom="1440" w:gutter="0" w:footer="0" w:header="0"/>
        </w:sectPr>
      </w:pPr>
    </w:p>
    <w:bookmarkStart w:id="18" w:name="page19"/>
    <w:bookmarkEnd w:id="18"/>
    <w:p>
      <w:pPr>
        <w:ind w:left="8"/>
        <w:spacing w:after="0"/>
        <w:rPr>
          <w:sz w:val="20"/>
          <w:szCs w:val="20"/>
          <w:color w:val="auto"/>
        </w:rPr>
      </w:pPr>
      <w:r>
        <w:rPr>
          <w:rFonts w:ascii="Arial" w:cs="Arial" w:eastAsia="Arial" w:hAnsi="Arial"/>
          <w:sz w:val="10"/>
          <w:szCs w:val="10"/>
          <w:i w:val="1"/>
          <w:iCs w:val="1"/>
          <w:color w:val="auto"/>
        </w:rPr>
        <w:t>HBT Financial, Inc.</w:t>
      </w:r>
    </w:p>
    <w:p>
      <w:pPr>
        <w:spacing w:after="0" w:line="10" w:lineRule="exact"/>
        <w:rPr>
          <w:sz w:val="20"/>
          <w:szCs w:val="20"/>
          <w:color w:val="auto"/>
        </w:rPr>
      </w:pPr>
    </w:p>
    <w:p>
      <w:pPr>
        <w:ind w:left="8"/>
        <w:spacing w:after="0"/>
        <w:rPr>
          <w:sz w:val="20"/>
          <w:szCs w:val="20"/>
          <w:color w:val="auto"/>
        </w:rPr>
      </w:pPr>
      <w:r>
        <w:rPr>
          <w:rFonts w:ascii="Arial" w:cs="Arial" w:eastAsia="Arial" w:hAnsi="Arial"/>
          <w:sz w:val="10"/>
          <w:szCs w:val="10"/>
          <w:i w:val="1"/>
          <w:iCs w:val="1"/>
          <w:color w:val="auto"/>
        </w:rPr>
        <w:t>Page 16</w:t>
      </w:r>
    </w:p>
    <w:p>
      <w:pPr>
        <w:spacing w:after="0" w:line="200" w:lineRule="exact"/>
        <w:rPr>
          <w:sz w:val="20"/>
          <w:szCs w:val="20"/>
          <w:color w:val="auto"/>
        </w:rPr>
      </w:pPr>
    </w:p>
    <w:p>
      <w:pPr>
        <w:spacing w:after="0" w:line="24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Reconciliation of Non-GAAP Financial Measures –</w:t>
      </w:r>
    </w:p>
    <w:p>
      <w:pPr>
        <w:spacing w:after="0" w:line="12" w:lineRule="exact"/>
        <w:rPr>
          <w:sz w:val="20"/>
          <w:szCs w:val="20"/>
          <w:color w:val="auto"/>
        </w:rPr>
      </w:pPr>
    </w:p>
    <w:p>
      <w:pPr>
        <w:jc w:val="center"/>
        <w:ind w:right="-7"/>
        <w:spacing w:after="0"/>
        <w:rPr>
          <w:sz w:val="20"/>
          <w:szCs w:val="20"/>
          <w:color w:val="auto"/>
        </w:rPr>
      </w:pPr>
      <w:r>
        <w:rPr>
          <w:rFonts w:ascii="Arial" w:cs="Arial" w:eastAsia="Arial" w:hAnsi="Arial"/>
          <w:sz w:val="10"/>
          <w:szCs w:val="10"/>
          <w:b w:val="1"/>
          <w:bCs w:val="1"/>
          <w:color w:val="auto"/>
        </w:rPr>
        <w:t>Ratio of Tangible Common Equity to Tangible Assets and Tangible Book Value Per Share</w:t>
      </w:r>
    </w:p>
    <w:p>
      <w:pPr>
        <w:spacing w:after="0" w:line="6" w:lineRule="exact"/>
        <w:rPr>
          <w:sz w:val="20"/>
          <w:szCs w:val="20"/>
          <w:color w:val="auto"/>
        </w:rPr>
      </w:pPr>
    </w:p>
    <w:tbl>
      <w:tblPr>
        <w:tblLayout w:type="fixed"/>
        <w:tblInd w:w="8" w:type="dxa"/>
        <w:tblCellMar>
          <w:top w:w="0" w:type="dxa"/>
          <w:left w:w="0" w:type="dxa"/>
          <w:bottom w:w="0" w:type="dxa"/>
          <w:right w:w="0" w:type="dxa"/>
        </w:tblCellMar>
      </w:tblPr>
      <w:tr>
        <w:trPr>
          <w:trHeight w:val="99"/>
        </w:trPr>
        <w:tc>
          <w:tcPr>
            <w:tcW w:w="2720" w:type="dxa"/>
            <w:vAlign w:val="bottom"/>
            <w:tcBorders>
              <w:top w:val="single" w:sz="8" w:color="auto"/>
            </w:tcBorders>
            <w:vMerge w:val="restart"/>
          </w:tcPr>
          <w:p>
            <w:pPr>
              <w:spacing w:after="0"/>
              <w:rPr>
                <w:sz w:val="20"/>
                <w:szCs w:val="20"/>
                <w:color w:val="auto"/>
              </w:rPr>
            </w:pPr>
            <w:r>
              <w:rPr>
                <w:rFonts w:ascii="Arial" w:cs="Arial" w:eastAsia="Arial" w:hAnsi="Arial"/>
                <w:sz w:val="10"/>
                <w:szCs w:val="10"/>
                <w:i w:val="1"/>
                <w:iCs w:val="1"/>
                <w:color w:val="auto"/>
              </w:rPr>
              <w:t>(dollars in thousands, except per share data)</w:t>
            </w:r>
          </w:p>
        </w:tc>
        <w:tc>
          <w:tcPr>
            <w:tcW w:w="378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gridSpan w:val="3"/>
          </w:tcPr>
          <w:p>
            <w:pPr>
              <w:jc w:val="center"/>
              <w:ind w:right="480"/>
              <w:spacing w:after="0" w:line="99" w:lineRule="exact"/>
              <w:rPr>
                <w:sz w:val="20"/>
                <w:szCs w:val="20"/>
                <w:color w:val="auto"/>
              </w:rPr>
            </w:pPr>
            <w:r>
              <w:rPr>
                <w:rFonts w:ascii="Arial" w:cs="Arial" w:eastAsia="Arial" w:hAnsi="Arial"/>
                <w:sz w:val="10"/>
                <w:szCs w:val="10"/>
                <w:b w:val="1"/>
                <w:bCs w:val="1"/>
                <w:color w:val="auto"/>
                <w:w w:val="95"/>
              </w:rPr>
              <w:t>March 31,</w:t>
            </w:r>
          </w:p>
        </w:tc>
        <w:tc>
          <w:tcPr>
            <w:tcW w:w="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420" w:type="dxa"/>
            <w:vAlign w:val="bottom"/>
            <w:tcBorders>
              <w:top w:val="single" w:sz="8" w:color="auto"/>
            </w:tcBorders>
            <w:gridSpan w:val="3"/>
          </w:tcPr>
          <w:p>
            <w:pPr>
              <w:jc w:val="center"/>
              <w:ind w:right="280"/>
              <w:spacing w:after="0" w:line="99" w:lineRule="exact"/>
              <w:rPr>
                <w:sz w:val="20"/>
                <w:szCs w:val="20"/>
                <w:color w:val="auto"/>
              </w:rPr>
            </w:pPr>
            <w:r>
              <w:rPr>
                <w:rFonts w:ascii="Arial" w:cs="Arial" w:eastAsia="Arial" w:hAnsi="Arial"/>
                <w:sz w:val="10"/>
                <w:szCs w:val="10"/>
                <w:b w:val="1"/>
                <w:bCs w:val="1"/>
                <w:color w:val="auto"/>
                <w:w w:val="95"/>
              </w:rPr>
              <w:t>December 31,</w:t>
            </w:r>
          </w:p>
        </w:tc>
        <w:tc>
          <w:tcPr>
            <w:tcW w:w="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40" w:type="dxa"/>
            <w:vAlign w:val="bottom"/>
            <w:tcBorders>
              <w:top w:val="single" w:sz="8" w:color="auto"/>
            </w:tcBorders>
          </w:tcPr>
          <w:p>
            <w:pPr>
              <w:jc w:val="center"/>
              <w:ind w:right="272"/>
              <w:spacing w:after="0" w:line="99" w:lineRule="exact"/>
              <w:rPr>
                <w:sz w:val="20"/>
                <w:szCs w:val="20"/>
                <w:color w:val="auto"/>
              </w:rPr>
            </w:pPr>
            <w:r>
              <w:rPr>
                <w:rFonts w:ascii="Arial" w:cs="Arial" w:eastAsia="Arial" w:hAnsi="Arial"/>
                <w:sz w:val="10"/>
                <w:szCs w:val="10"/>
                <w:b w:val="1"/>
                <w:bCs w:val="1"/>
                <w:color w:val="auto"/>
                <w:w w:val="95"/>
              </w:rPr>
              <w:t>March 31,</w:t>
            </w:r>
          </w:p>
        </w:tc>
        <w:tc>
          <w:tcPr>
            <w:tcW w:w="0" w:type="dxa"/>
            <w:vAlign w:val="bottom"/>
          </w:tcPr>
          <w:p>
            <w:pPr>
              <w:spacing w:after="0"/>
              <w:rPr>
                <w:sz w:val="1"/>
                <w:szCs w:val="1"/>
                <w:color w:val="auto"/>
              </w:rPr>
            </w:pPr>
          </w:p>
        </w:tc>
      </w:tr>
      <w:tr>
        <w:trPr>
          <w:trHeight w:val="134"/>
        </w:trPr>
        <w:tc>
          <w:tcPr>
            <w:tcW w:w="2720" w:type="dxa"/>
            <w:vAlign w:val="bottom"/>
            <w:vMerge w:val="continue"/>
          </w:tcPr>
          <w:p>
            <w:pPr>
              <w:spacing w:after="0"/>
              <w:rPr>
                <w:sz w:val="11"/>
                <w:szCs w:val="11"/>
                <w:color w:val="auto"/>
              </w:rPr>
            </w:pPr>
          </w:p>
        </w:tc>
        <w:tc>
          <w:tcPr>
            <w:tcW w:w="37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352"/>
              <w:spacing w:after="0"/>
              <w:rPr>
                <w:sz w:val="20"/>
                <w:szCs w:val="20"/>
                <w:color w:val="auto"/>
              </w:rPr>
            </w:pPr>
            <w:r>
              <w:rPr>
                <w:rFonts w:ascii="Arial" w:cs="Arial" w:eastAsia="Arial" w:hAnsi="Arial"/>
                <w:sz w:val="10"/>
                <w:szCs w:val="10"/>
                <w:b w:val="1"/>
                <w:bCs w:val="1"/>
                <w:color w:val="auto"/>
                <w:w w:val="89"/>
              </w:rPr>
              <w:t>2026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center"/>
              <w:ind w:right="132"/>
              <w:spacing w:after="0"/>
              <w:rPr>
                <w:sz w:val="20"/>
                <w:szCs w:val="20"/>
                <w:color w:val="auto"/>
              </w:rPr>
            </w:pPr>
            <w:r>
              <w:rPr>
                <w:rFonts w:ascii="Arial" w:cs="Arial" w:eastAsia="Arial" w:hAnsi="Arial"/>
                <w:sz w:val="10"/>
                <w:szCs w:val="10"/>
                <w:b w:val="1"/>
                <w:bCs w:val="1"/>
                <w:color w:val="auto"/>
                <w:w w:val="89"/>
              </w:rPr>
              <w:t>2025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272"/>
              <w:spacing w:after="0"/>
              <w:rPr>
                <w:sz w:val="20"/>
                <w:szCs w:val="20"/>
                <w:color w:val="auto"/>
              </w:rPr>
            </w:pPr>
            <w:r>
              <w:rPr>
                <w:rFonts w:ascii="Arial" w:cs="Arial" w:eastAsia="Arial" w:hAnsi="Arial"/>
                <w:sz w:val="10"/>
                <w:szCs w:val="10"/>
                <w:b w:val="1"/>
                <w:bCs w:val="1"/>
                <w:color w:val="auto"/>
                <w:w w:val="89"/>
              </w:rPr>
              <w:t>2025</w:t>
            </w:r>
          </w:p>
        </w:tc>
        <w:tc>
          <w:tcPr>
            <w:tcW w:w="0" w:type="dxa"/>
            <w:vAlign w:val="bottom"/>
          </w:tcPr>
          <w:p>
            <w:pPr>
              <w:spacing w:after="0"/>
              <w:rPr>
                <w:sz w:val="1"/>
                <w:szCs w:val="1"/>
                <w:color w:val="auto"/>
              </w:rPr>
            </w:pPr>
          </w:p>
        </w:tc>
      </w:tr>
      <w:tr>
        <w:trPr>
          <w:trHeight w:val="143"/>
        </w:trPr>
        <w:tc>
          <w:tcPr>
            <w:tcW w:w="27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Tangible Common Equity</w:t>
            </w:r>
          </w:p>
        </w:tc>
        <w:tc>
          <w:tcPr>
            <w:tcW w:w="3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720" w:type="dxa"/>
            <w:vAlign w:val="bottom"/>
          </w:tcPr>
          <w:p>
            <w:pPr>
              <w:ind w:left="60"/>
              <w:spacing w:after="0"/>
              <w:rPr>
                <w:sz w:val="20"/>
                <w:szCs w:val="20"/>
                <w:color w:val="auto"/>
              </w:rPr>
            </w:pPr>
            <w:r>
              <w:rPr>
                <w:rFonts w:ascii="Arial" w:cs="Arial" w:eastAsia="Arial" w:hAnsi="Arial"/>
                <w:sz w:val="10"/>
                <w:szCs w:val="10"/>
                <w:color w:val="auto"/>
              </w:rPr>
              <w:t>Total stockholders' equity</w:t>
            </w:r>
          </w:p>
        </w:tc>
        <w:tc>
          <w:tcPr>
            <w:tcW w:w="420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747,405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615,498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565,057</w:t>
            </w:r>
          </w:p>
        </w:tc>
        <w:tc>
          <w:tcPr>
            <w:tcW w:w="0" w:type="dxa"/>
            <w:vAlign w:val="bottom"/>
          </w:tcPr>
          <w:p>
            <w:pPr>
              <w:spacing w:after="0"/>
              <w:rPr>
                <w:sz w:val="1"/>
                <w:szCs w:val="1"/>
                <w:color w:val="auto"/>
              </w:rPr>
            </w:pPr>
          </w:p>
        </w:tc>
      </w:tr>
      <w:tr>
        <w:trPr>
          <w:trHeight w:val="138"/>
        </w:trPr>
        <w:tc>
          <w:tcPr>
            <w:tcW w:w="2720" w:type="dxa"/>
            <w:vAlign w:val="bottom"/>
            <w:shd w:val="clear" w:color="auto" w:fill="CCEEFF"/>
          </w:tcPr>
          <w:p>
            <w:pPr>
              <w:ind w:left="60"/>
              <w:spacing w:after="0"/>
              <w:rPr>
                <w:sz w:val="20"/>
                <w:szCs w:val="20"/>
                <w:color w:val="auto"/>
              </w:rPr>
            </w:pPr>
            <w:r>
              <w:rPr>
                <w:rFonts w:ascii="Arial" w:cs="Arial" w:eastAsia="Arial" w:hAnsi="Arial"/>
                <w:sz w:val="10"/>
                <w:szCs w:val="10"/>
                <w:color w:val="auto"/>
              </w:rPr>
              <w:t>Less: Goodwill</w:t>
            </w:r>
          </w:p>
        </w:tc>
        <w:tc>
          <w:tcPr>
            <w:tcW w:w="3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83,504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59,820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59,820</w:t>
            </w:r>
          </w:p>
        </w:tc>
        <w:tc>
          <w:tcPr>
            <w:tcW w:w="0" w:type="dxa"/>
            <w:vAlign w:val="bottom"/>
          </w:tcPr>
          <w:p>
            <w:pPr>
              <w:spacing w:after="0"/>
              <w:rPr>
                <w:sz w:val="1"/>
                <w:szCs w:val="1"/>
                <w:color w:val="auto"/>
              </w:rPr>
            </w:pPr>
          </w:p>
        </w:tc>
      </w:tr>
      <w:tr>
        <w:trPr>
          <w:trHeight w:val="132"/>
        </w:trPr>
        <w:tc>
          <w:tcPr>
            <w:tcW w:w="272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Less: Intangible assets</w:t>
            </w:r>
          </w:p>
        </w:tc>
        <w:tc>
          <w:tcPr>
            <w:tcW w:w="378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44,962</w:t>
            </w: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15,117</w:t>
            </w: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17,148</w:t>
            </w:r>
          </w:p>
        </w:tc>
        <w:tc>
          <w:tcPr>
            <w:tcW w:w="0" w:type="dxa"/>
            <w:vAlign w:val="bottom"/>
          </w:tcPr>
          <w:p>
            <w:pPr>
              <w:spacing w:after="0"/>
              <w:rPr>
                <w:sz w:val="1"/>
                <w:szCs w:val="1"/>
                <w:color w:val="auto"/>
              </w:rPr>
            </w:pPr>
          </w:p>
        </w:tc>
      </w:tr>
      <w:tr>
        <w:trPr>
          <w:trHeight w:val="143"/>
        </w:trPr>
        <w:tc>
          <w:tcPr>
            <w:tcW w:w="2720" w:type="dxa"/>
            <w:vAlign w:val="bottom"/>
            <w:shd w:val="clear" w:color="auto" w:fill="CCEEFF"/>
          </w:tcPr>
          <w:p>
            <w:pPr>
              <w:ind w:left="120"/>
              <w:spacing w:after="0"/>
              <w:rPr>
                <w:sz w:val="20"/>
                <w:szCs w:val="20"/>
                <w:color w:val="auto"/>
              </w:rPr>
            </w:pPr>
            <w:r>
              <w:rPr>
                <w:rFonts w:ascii="Arial" w:cs="Arial" w:eastAsia="Arial" w:hAnsi="Arial"/>
                <w:sz w:val="10"/>
                <w:szCs w:val="10"/>
                <w:b w:val="1"/>
                <w:bCs w:val="1"/>
                <w:color w:val="auto"/>
              </w:rPr>
              <w:t>Tangible common equity</w:t>
            </w:r>
          </w:p>
        </w:tc>
        <w:tc>
          <w:tcPr>
            <w:tcW w:w="420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618,939</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540,561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488,089</w:t>
            </w:r>
          </w:p>
        </w:tc>
        <w:tc>
          <w:tcPr>
            <w:tcW w:w="0" w:type="dxa"/>
            <w:vAlign w:val="bottom"/>
          </w:tcPr>
          <w:p>
            <w:pPr>
              <w:spacing w:after="0"/>
              <w:rPr>
                <w:sz w:val="1"/>
                <w:szCs w:val="1"/>
                <w:color w:val="auto"/>
              </w:rPr>
            </w:pPr>
          </w:p>
        </w:tc>
      </w:tr>
      <w:tr>
        <w:trPr>
          <w:trHeight w:val="126"/>
        </w:trPr>
        <w:tc>
          <w:tcPr>
            <w:tcW w:w="2720" w:type="dxa"/>
            <w:vAlign w:val="bottom"/>
            <w:tcBorders>
              <w:top w:val="single" w:sz="8" w:color="CCEEFF"/>
            </w:tcBorders>
          </w:tcPr>
          <w:p>
            <w:pPr>
              <w:spacing w:after="0"/>
              <w:rPr>
                <w:sz w:val="10"/>
                <w:szCs w:val="10"/>
                <w:color w:val="auto"/>
              </w:rPr>
            </w:pPr>
          </w:p>
        </w:tc>
        <w:tc>
          <w:tcPr>
            <w:tcW w:w="3780" w:type="dxa"/>
            <w:vAlign w:val="bottom"/>
            <w:tcBorders>
              <w:top w:val="single" w:sz="8" w:color="CCEEFF"/>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Tangible Assets</w:t>
            </w:r>
          </w:p>
        </w:tc>
        <w:tc>
          <w:tcPr>
            <w:tcW w:w="3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720" w:type="dxa"/>
            <w:vAlign w:val="bottom"/>
          </w:tcPr>
          <w:p>
            <w:pPr>
              <w:ind w:left="60"/>
              <w:spacing w:after="0"/>
              <w:rPr>
                <w:sz w:val="20"/>
                <w:szCs w:val="20"/>
                <w:color w:val="auto"/>
              </w:rPr>
            </w:pPr>
            <w:r>
              <w:rPr>
                <w:rFonts w:ascii="Arial" w:cs="Arial" w:eastAsia="Arial" w:hAnsi="Arial"/>
                <w:sz w:val="10"/>
                <w:szCs w:val="10"/>
                <w:color w:val="auto"/>
              </w:rPr>
              <w:t>Total assets</w:t>
            </w:r>
          </w:p>
        </w:tc>
        <w:tc>
          <w:tcPr>
            <w:tcW w:w="420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6,773,724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5,071,390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5,092,192</w:t>
            </w:r>
          </w:p>
        </w:tc>
        <w:tc>
          <w:tcPr>
            <w:tcW w:w="0" w:type="dxa"/>
            <w:vAlign w:val="bottom"/>
          </w:tcPr>
          <w:p>
            <w:pPr>
              <w:spacing w:after="0"/>
              <w:rPr>
                <w:sz w:val="1"/>
                <w:szCs w:val="1"/>
                <w:color w:val="auto"/>
              </w:rPr>
            </w:pPr>
          </w:p>
        </w:tc>
      </w:tr>
      <w:tr>
        <w:trPr>
          <w:trHeight w:val="138"/>
        </w:trPr>
        <w:tc>
          <w:tcPr>
            <w:tcW w:w="2720" w:type="dxa"/>
            <w:vAlign w:val="bottom"/>
            <w:shd w:val="clear" w:color="auto" w:fill="CCEEFF"/>
          </w:tcPr>
          <w:p>
            <w:pPr>
              <w:ind w:left="60"/>
              <w:spacing w:after="0"/>
              <w:rPr>
                <w:sz w:val="20"/>
                <w:szCs w:val="20"/>
                <w:color w:val="auto"/>
              </w:rPr>
            </w:pPr>
            <w:r>
              <w:rPr>
                <w:rFonts w:ascii="Arial" w:cs="Arial" w:eastAsia="Arial" w:hAnsi="Arial"/>
                <w:sz w:val="10"/>
                <w:szCs w:val="10"/>
                <w:color w:val="auto"/>
              </w:rPr>
              <w:t>Less: Goodwill</w:t>
            </w:r>
          </w:p>
        </w:tc>
        <w:tc>
          <w:tcPr>
            <w:tcW w:w="3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83,504</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59,820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59,820</w:t>
            </w:r>
          </w:p>
        </w:tc>
        <w:tc>
          <w:tcPr>
            <w:tcW w:w="0" w:type="dxa"/>
            <w:vAlign w:val="bottom"/>
          </w:tcPr>
          <w:p>
            <w:pPr>
              <w:spacing w:after="0"/>
              <w:rPr>
                <w:sz w:val="1"/>
                <w:szCs w:val="1"/>
                <w:color w:val="auto"/>
              </w:rPr>
            </w:pPr>
          </w:p>
        </w:tc>
      </w:tr>
      <w:tr>
        <w:trPr>
          <w:trHeight w:val="132"/>
        </w:trPr>
        <w:tc>
          <w:tcPr>
            <w:tcW w:w="272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Less: Intangible assets</w:t>
            </w:r>
          </w:p>
        </w:tc>
        <w:tc>
          <w:tcPr>
            <w:tcW w:w="378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44,962</w:t>
            </w: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15,117</w:t>
            </w:r>
          </w:p>
        </w:tc>
        <w:tc>
          <w:tcPr>
            <w:tcW w:w="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17,148</w:t>
            </w:r>
          </w:p>
        </w:tc>
        <w:tc>
          <w:tcPr>
            <w:tcW w:w="0" w:type="dxa"/>
            <w:vAlign w:val="bottom"/>
          </w:tcPr>
          <w:p>
            <w:pPr>
              <w:spacing w:after="0"/>
              <w:rPr>
                <w:sz w:val="1"/>
                <w:szCs w:val="1"/>
                <w:color w:val="auto"/>
              </w:rPr>
            </w:pPr>
          </w:p>
        </w:tc>
      </w:tr>
      <w:tr>
        <w:trPr>
          <w:trHeight w:val="143"/>
        </w:trPr>
        <w:tc>
          <w:tcPr>
            <w:tcW w:w="2720" w:type="dxa"/>
            <w:vAlign w:val="bottom"/>
            <w:shd w:val="clear" w:color="auto" w:fill="CCEEFF"/>
          </w:tcPr>
          <w:p>
            <w:pPr>
              <w:ind w:left="120"/>
              <w:spacing w:after="0"/>
              <w:rPr>
                <w:sz w:val="20"/>
                <w:szCs w:val="20"/>
                <w:color w:val="auto"/>
              </w:rPr>
            </w:pPr>
            <w:r>
              <w:rPr>
                <w:rFonts w:ascii="Arial" w:cs="Arial" w:eastAsia="Arial" w:hAnsi="Arial"/>
                <w:sz w:val="10"/>
                <w:szCs w:val="10"/>
                <w:b w:val="1"/>
                <w:bCs w:val="1"/>
                <w:color w:val="auto"/>
              </w:rPr>
              <w:t>Tangible assets</w:t>
            </w:r>
          </w:p>
        </w:tc>
        <w:tc>
          <w:tcPr>
            <w:tcW w:w="420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6,645,258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4,996,453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5,015,224</w:t>
            </w:r>
          </w:p>
        </w:tc>
        <w:tc>
          <w:tcPr>
            <w:tcW w:w="0" w:type="dxa"/>
            <w:vAlign w:val="bottom"/>
          </w:tcPr>
          <w:p>
            <w:pPr>
              <w:spacing w:after="0"/>
              <w:rPr>
                <w:sz w:val="1"/>
                <w:szCs w:val="1"/>
                <w:color w:val="auto"/>
              </w:rPr>
            </w:pPr>
          </w:p>
        </w:tc>
      </w:tr>
      <w:tr>
        <w:trPr>
          <w:trHeight w:val="126"/>
        </w:trPr>
        <w:tc>
          <w:tcPr>
            <w:tcW w:w="2720" w:type="dxa"/>
            <w:vAlign w:val="bottom"/>
            <w:tcBorders>
              <w:top w:val="single" w:sz="8" w:color="CCEEFF"/>
            </w:tcBorders>
          </w:tcPr>
          <w:p>
            <w:pPr>
              <w:spacing w:after="0"/>
              <w:rPr>
                <w:sz w:val="10"/>
                <w:szCs w:val="10"/>
                <w:color w:val="auto"/>
              </w:rPr>
            </w:pPr>
          </w:p>
        </w:tc>
        <w:tc>
          <w:tcPr>
            <w:tcW w:w="3780" w:type="dxa"/>
            <w:vAlign w:val="bottom"/>
            <w:tcBorders>
              <w:top w:val="single" w:sz="8" w:color="CCEEFF"/>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auto"/>
              </w:rPr>
              <w:t>Total stockholders' equity to total assets</w:t>
            </w:r>
          </w:p>
        </w:tc>
        <w:tc>
          <w:tcPr>
            <w:tcW w:w="3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11.03 %</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12.14 %</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11.10 %</w:t>
            </w:r>
          </w:p>
        </w:tc>
        <w:tc>
          <w:tcPr>
            <w:tcW w:w="0" w:type="dxa"/>
            <w:vAlign w:val="bottom"/>
          </w:tcPr>
          <w:p>
            <w:pPr>
              <w:spacing w:after="0"/>
              <w:rPr>
                <w:sz w:val="1"/>
                <w:szCs w:val="1"/>
                <w:color w:val="auto"/>
              </w:rPr>
            </w:pPr>
          </w:p>
        </w:tc>
      </w:tr>
      <w:tr>
        <w:trPr>
          <w:trHeight w:val="132"/>
        </w:trPr>
        <w:tc>
          <w:tcPr>
            <w:tcW w:w="2720" w:type="dxa"/>
            <w:vAlign w:val="bottom"/>
          </w:tcPr>
          <w:p>
            <w:pPr>
              <w:spacing w:after="0"/>
              <w:rPr>
                <w:sz w:val="20"/>
                <w:szCs w:val="20"/>
                <w:color w:val="auto"/>
              </w:rPr>
            </w:pPr>
            <w:r>
              <w:rPr>
                <w:rFonts w:ascii="Arial" w:cs="Arial" w:eastAsia="Arial" w:hAnsi="Arial"/>
                <w:sz w:val="10"/>
                <w:szCs w:val="10"/>
                <w:color w:val="auto"/>
              </w:rPr>
              <w:t>Tangible common equity to tangible assets</w:t>
            </w:r>
          </w:p>
        </w:tc>
        <w:tc>
          <w:tcPr>
            <w:tcW w:w="3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9.31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10.82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9.73</w:t>
            </w:r>
          </w:p>
        </w:tc>
        <w:tc>
          <w:tcPr>
            <w:tcW w:w="0" w:type="dxa"/>
            <w:vAlign w:val="bottom"/>
          </w:tcPr>
          <w:p>
            <w:pPr>
              <w:spacing w:after="0"/>
              <w:rPr>
                <w:sz w:val="1"/>
                <w:szCs w:val="1"/>
                <w:color w:val="auto"/>
              </w:rPr>
            </w:pPr>
          </w:p>
        </w:tc>
      </w:tr>
      <w:tr>
        <w:trPr>
          <w:trHeight w:val="147"/>
        </w:trPr>
        <w:tc>
          <w:tcPr>
            <w:tcW w:w="2720" w:type="dxa"/>
            <w:vAlign w:val="bottom"/>
            <w:shd w:val="clear" w:color="auto" w:fill="CCEEFF"/>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720" w:type="dxa"/>
            <w:vAlign w:val="bottom"/>
          </w:tcPr>
          <w:p>
            <w:pPr>
              <w:spacing w:after="0"/>
              <w:rPr>
                <w:sz w:val="20"/>
                <w:szCs w:val="20"/>
                <w:color w:val="auto"/>
              </w:rPr>
            </w:pPr>
            <w:r>
              <w:rPr>
                <w:rFonts w:ascii="Arial" w:cs="Arial" w:eastAsia="Arial" w:hAnsi="Arial"/>
                <w:sz w:val="10"/>
                <w:szCs w:val="10"/>
                <w:color w:val="auto"/>
              </w:rPr>
              <w:t>Shares of common stock outstanding</w:t>
            </w:r>
          </w:p>
        </w:tc>
        <w:tc>
          <w:tcPr>
            <w:tcW w:w="3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36,381,078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31,431,924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31,631,431</w:t>
            </w:r>
          </w:p>
        </w:tc>
        <w:tc>
          <w:tcPr>
            <w:tcW w:w="0" w:type="dxa"/>
            <w:vAlign w:val="bottom"/>
          </w:tcPr>
          <w:p>
            <w:pPr>
              <w:spacing w:after="0"/>
              <w:rPr>
                <w:sz w:val="1"/>
                <w:szCs w:val="1"/>
                <w:color w:val="auto"/>
              </w:rPr>
            </w:pPr>
          </w:p>
        </w:tc>
      </w:tr>
      <w:tr>
        <w:trPr>
          <w:trHeight w:val="147"/>
        </w:trPr>
        <w:tc>
          <w:tcPr>
            <w:tcW w:w="2720" w:type="dxa"/>
            <w:vAlign w:val="bottom"/>
            <w:shd w:val="clear" w:color="auto" w:fill="CCEEFF"/>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720" w:type="dxa"/>
            <w:vAlign w:val="bottom"/>
          </w:tcPr>
          <w:p>
            <w:pPr>
              <w:spacing w:after="0"/>
              <w:rPr>
                <w:sz w:val="20"/>
                <w:szCs w:val="20"/>
                <w:color w:val="auto"/>
              </w:rPr>
            </w:pPr>
            <w:r>
              <w:rPr>
                <w:rFonts w:ascii="Arial" w:cs="Arial" w:eastAsia="Arial" w:hAnsi="Arial"/>
                <w:sz w:val="10"/>
                <w:szCs w:val="10"/>
                <w:color w:val="auto"/>
              </w:rPr>
              <w:t>Book value per share</w:t>
            </w:r>
          </w:p>
        </w:tc>
        <w:tc>
          <w:tcPr>
            <w:tcW w:w="420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72"/>
              <w:spacing w:after="0"/>
              <w:rPr>
                <w:sz w:val="20"/>
                <w:szCs w:val="20"/>
                <w:color w:val="auto"/>
              </w:rPr>
            </w:pPr>
            <w:r>
              <w:rPr>
                <w:rFonts w:ascii="Arial" w:cs="Arial" w:eastAsia="Arial" w:hAnsi="Arial"/>
                <w:sz w:val="10"/>
                <w:szCs w:val="10"/>
                <w:color w:val="auto"/>
              </w:rPr>
              <w:t>20.54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340" w:type="dxa"/>
            <w:vAlign w:val="bottom"/>
          </w:tcPr>
          <w:p>
            <w:pPr>
              <w:jc w:val="right"/>
              <w:ind w:right="72"/>
              <w:spacing w:after="0"/>
              <w:rPr>
                <w:sz w:val="20"/>
                <w:szCs w:val="20"/>
                <w:color w:val="auto"/>
              </w:rPr>
            </w:pPr>
            <w:r>
              <w:rPr>
                <w:rFonts w:ascii="Arial" w:cs="Arial" w:eastAsia="Arial" w:hAnsi="Arial"/>
                <w:sz w:val="10"/>
                <w:szCs w:val="10"/>
                <w:color w:val="auto"/>
              </w:rPr>
              <w:t>19.58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17.86</w:t>
            </w:r>
          </w:p>
        </w:tc>
        <w:tc>
          <w:tcPr>
            <w:tcW w:w="0" w:type="dxa"/>
            <w:vAlign w:val="bottom"/>
          </w:tcPr>
          <w:p>
            <w:pPr>
              <w:spacing w:after="0"/>
              <w:rPr>
                <w:sz w:val="1"/>
                <w:szCs w:val="1"/>
                <w:color w:val="auto"/>
              </w:rPr>
            </w:pPr>
          </w:p>
        </w:tc>
      </w:tr>
      <w:tr>
        <w:trPr>
          <w:trHeight w:val="138"/>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auto"/>
              </w:rPr>
              <w:t>Tangible book value per share</w:t>
            </w:r>
          </w:p>
        </w:tc>
        <w:tc>
          <w:tcPr>
            <w:tcW w:w="3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17.01</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17.20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15.43</w:t>
            </w:r>
          </w:p>
        </w:tc>
        <w:tc>
          <w:tcPr>
            <w:tcW w:w="0" w:type="dxa"/>
            <w:vAlign w:val="bottom"/>
          </w:tcPr>
          <w:p>
            <w:pPr>
              <w:spacing w:after="0"/>
              <w:rPr>
                <w:sz w:val="1"/>
                <w:szCs w:val="1"/>
                <w:color w:val="auto"/>
              </w:rPr>
            </w:pPr>
          </w:p>
        </w:tc>
      </w:tr>
      <w:tr>
        <w:trPr>
          <w:trHeight w:val="308"/>
        </w:trPr>
        <w:tc>
          <w:tcPr>
            <w:tcW w:w="2720" w:type="dxa"/>
            <w:vAlign w:val="bottom"/>
          </w:tcPr>
          <w:p>
            <w:pPr>
              <w:spacing w:after="0"/>
              <w:rPr>
                <w:sz w:val="24"/>
                <w:szCs w:val="24"/>
                <w:color w:val="auto"/>
              </w:rPr>
            </w:pPr>
          </w:p>
        </w:tc>
        <w:tc>
          <w:tcPr>
            <w:tcW w:w="4200" w:type="dxa"/>
            <w:vAlign w:val="bottom"/>
            <w:gridSpan w:val="3"/>
          </w:tcPr>
          <w:p>
            <w:pPr>
              <w:jc w:val="center"/>
              <w:ind w:left="1592"/>
              <w:spacing w:after="0"/>
              <w:rPr>
                <w:sz w:val="20"/>
                <w:szCs w:val="20"/>
                <w:color w:val="auto"/>
              </w:rPr>
            </w:pPr>
            <w:r>
              <w:rPr>
                <w:rFonts w:ascii="Arial" w:cs="Arial" w:eastAsia="Arial" w:hAnsi="Arial"/>
                <w:sz w:val="10"/>
                <w:szCs w:val="10"/>
                <w:b w:val="1"/>
                <w:bCs w:val="1"/>
                <w:color w:val="auto"/>
                <w:w w:val="95"/>
              </w:rPr>
              <w:t>Reconciliation of Non-GAAP Financial Measures –</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720" w:type="dxa"/>
            <w:vAlign w:val="bottom"/>
          </w:tcPr>
          <w:p>
            <w:pPr>
              <w:spacing w:after="0"/>
              <w:rPr>
                <w:sz w:val="10"/>
                <w:szCs w:val="10"/>
                <w:color w:val="auto"/>
              </w:rPr>
            </w:pPr>
          </w:p>
        </w:tc>
        <w:tc>
          <w:tcPr>
            <w:tcW w:w="4200" w:type="dxa"/>
            <w:vAlign w:val="bottom"/>
            <w:gridSpan w:val="3"/>
          </w:tcPr>
          <w:p>
            <w:pPr>
              <w:jc w:val="center"/>
              <w:ind w:left="1592"/>
              <w:spacing w:after="0"/>
              <w:rPr>
                <w:sz w:val="20"/>
                <w:szCs w:val="20"/>
                <w:color w:val="auto"/>
              </w:rPr>
            </w:pPr>
            <w:r>
              <w:rPr>
                <w:rFonts w:ascii="Arial" w:cs="Arial" w:eastAsia="Arial" w:hAnsi="Arial"/>
                <w:sz w:val="10"/>
                <w:szCs w:val="10"/>
                <w:b w:val="1"/>
                <w:bCs w:val="1"/>
                <w:color w:val="auto"/>
                <w:w w:val="94"/>
              </w:rPr>
              <w:t>Return on Average Tangible Common Equity,</w:t>
            </w: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720" w:type="dxa"/>
            <w:vAlign w:val="bottom"/>
            <w:tcBorders>
              <w:bottom w:val="single" w:sz="8" w:color="auto"/>
            </w:tcBorders>
          </w:tcPr>
          <w:p>
            <w:pPr>
              <w:spacing w:after="0"/>
              <w:rPr>
                <w:sz w:val="11"/>
                <w:szCs w:val="11"/>
                <w:color w:val="auto"/>
              </w:rPr>
            </w:pPr>
          </w:p>
        </w:tc>
        <w:tc>
          <w:tcPr>
            <w:tcW w:w="5400" w:type="dxa"/>
            <w:vAlign w:val="bottom"/>
            <w:tcBorders>
              <w:bottom w:val="single" w:sz="8" w:color="auto"/>
            </w:tcBorders>
            <w:gridSpan w:val="6"/>
          </w:tcPr>
          <w:p>
            <w:pPr>
              <w:jc w:val="center"/>
              <w:ind w:left="392"/>
              <w:spacing w:after="0"/>
              <w:rPr>
                <w:sz w:val="20"/>
                <w:szCs w:val="20"/>
                <w:color w:val="auto"/>
              </w:rPr>
            </w:pPr>
            <w:r>
              <w:rPr>
                <w:rFonts w:ascii="Arial" w:cs="Arial" w:eastAsia="Arial" w:hAnsi="Arial"/>
                <w:sz w:val="10"/>
                <w:szCs w:val="10"/>
                <w:b w:val="1"/>
                <w:bCs w:val="1"/>
                <w:color w:val="auto"/>
                <w:w w:val="95"/>
              </w:rPr>
              <w:t>Adjusted Return on Average Stockholders' Equity and Adjusted Return on Average Tangible Common Equity</w:t>
            </w: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7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0"/>
                <w:szCs w:val="10"/>
                <w:b w:val="1"/>
                <w:bCs w:val="1"/>
                <w:color w:val="auto"/>
                <w:w w:val="94"/>
              </w:rPr>
              <w:t>Three Months Ended</w:t>
            </w: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720" w:type="dxa"/>
            <w:vAlign w:val="bottom"/>
            <w:vMerge w:val="restart"/>
          </w:tcPr>
          <w:p>
            <w:pPr>
              <w:spacing w:after="0"/>
              <w:rPr>
                <w:sz w:val="20"/>
                <w:szCs w:val="20"/>
                <w:color w:val="auto"/>
              </w:rPr>
            </w:pPr>
            <w:r>
              <w:rPr>
                <w:rFonts w:ascii="Arial" w:cs="Arial" w:eastAsia="Arial" w:hAnsi="Arial"/>
                <w:sz w:val="10"/>
                <w:szCs w:val="10"/>
                <w:i w:val="1"/>
                <w:iCs w:val="1"/>
                <w:color w:val="auto"/>
              </w:rPr>
              <w:t>(dollars in thousands)</w:t>
            </w:r>
          </w:p>
        </w:tc>
        <w:tc>
          <w:tcPr>
            <w:tcW w:w="37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gridSpan w:val="3"/>
          </w:tcPr>
          <w:p>
            <w:pPr>
              <w:jc w:val="center"/>
              <w:ind w:right="480"/>
              <w:spacing w:after="0" w:line="89" w:lineRule="exact"/>
              <w:rPr>
                <w:sz w:val="20"/>
                <w:szCs w:val="20"/>
                <w:color w:val="auto"/>
              </w:rPr>
            </w:pPr>
            <w:r>
              <w:rPr>
                <w:rFonts w:ascii="Arial" w:cs="Arial" w:eastAsia="Arial" w:hAnsi="Arial"/>
                <w:sz w:val="10"/>
                <w:szCs w:val="10"/>
                <w:b w:val="1"/>
                <w:bCs w:val="1"/>
                <w:color w:val="auto"/>
                <w:w w:val="95"/>
              </w:rPr>
              <w:t>March 31,</w:t>
            </w: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gridSpan w:val="3"/>
          </w:tcPr>
          <w:p>
            <w:pPr>
              <w:jc w:val="center"/>
              <w:ind w:right="240"/>
              <w:spacing w:after="0" w:line="89" w:lineRule="exact"/>
              <w:rPr>
                <w:sz w:val="20"/>
                <w:szCs w:val="20"/>
                <w:color w:val="auto"/>
              </w:rPr>
            </w:pPr>
            <w:r>
              <w:rPr>
                <w:rFonts w:ascii="Arial" w:cs="Arial" w:eastAsia="Arial" w:hAnsi="Arial"/>
                <w:sz w:val="10"/>
                <w:szCs w:val="10"/>
                <w:b w:val="1"/>
                <w:bCs w:val="1"/>
                <w:color w:val="auto"/>
                <w:w w:val="95"/>
              </w:rPr>
              <w:t>December 31,</w:t>
            </w: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tcPr>
          <w:p>
            <w:pPr>
              <w:jc w:val="center"/>
              <w:ind w:right="272"/>
              <w:spacing w:after="0" w:line="89" w:lineRule="exact"/>
              <w:rPr>
                <w:sz w:val="20"/>
                <w:szCs w:val="20"/>
                <w:color w:val="auto"/>
              </w:rPr>
            </w:pPr>
            <w:r>
              <w:rPr>
                <w:rFonts w:ascii="Arial" w:cs="Arial" w:eastAsia="Arial" w:hAnsi="Arial"/>
                <w:sz w:val="10"/>
                <w:szCs w:val="10"/>
                <w:b w:val="1"/>
                <w:bCs w:val="1"/>
                <w:color w:val="auto"/>
                <w:w w:val="95"/>
              </w:rPr>
              <w:t>March 31,</w:t>
            </w:r>
          </w:p>
        </w:tc>
        <w:tc>
          <w:tcPr>
            <w:tcW w:w="0" w:type="dxa"/>
            <w:vAlign w:val="bottom"/>
          </w:tcPr>
          <w:p>
            <w:pPr>
              <w:spacing w:after="0"/>
              <w:rPr>
                <w:sz w:val="1"/>
                <w:szCs w:val="1"/>
                <w:color w:val="auto"/>
              </w:rPr>
            </w:pPr>
          </w:p>
        </w:tc>
      </w:tr>
      <w:tr>
        <w:trPr>
          <w:trHeight w:val="134"/>
        </w:trPr>
        <w:tc>
          <w:tcPr>
            <w:tcW w:w="2720" w:type="dxa"/>
            <w:vAlign w:val="bottom"/>
            <w:vMerge w:val="continue"/>
          </w:tcPr>
          <w:p>
            <w:pPr>
              <w:spacing w:after="0"/>
              <w:rPr>
                <w:sz w:val="11"/>
                <w:szCs w:val="11"/>
                <w:color w:val="auto"/>
              </w:rPr>
            </w:pPr>
          </w:p>
        </w:tc>
        <w:tc>
          <w:tcPr>
            <w:tcW w:w="3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332"/>
              <w:spacing w:after="0"/>
              <w:rPr>
                <w:sz w:val="20"/>
                <w:szCs w:val="20"/>
                <w:color w:val="auto"/>
              </w:rPr>
            </w:pPr>
            <w:r>
              <w:rPr>
                <w:rFonts w:ascii="Arial" w:cs="Arial" w:eastAsia="Arial" w:hAnsi="Arial"/>
                <w:sz w:val="10"/>
                <w:szCs w:val="10"/>
                <w:b w:val="1"/>
                <w:bCs w:val="1"/>
                <w:color w:val="auto"/>
                <w:w w:val="98"/>
              </w:rPr>
              <w:t>2026</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center"/>
              <w:ind w:right="112"/>
              <w:spacing w:after="0"/>
              <w:rPr>
                <w:sz w:val="20"/>
                <w:szCs w:val="20"/>
                <w:color w:val="auto"/>
              </w:rPr>
            </w:pPr>
            <w:r>
              <w:rPr>
                <w:rFonts w:ascii="Arial" w:cs="Arial" w:eastAsia="Arial" w:hAnsi="Arial"/>
                <w:sz w:val="10"/>
                <w:szCs w:val="10"/>
                <w:b w:val="1"/>
                <w:bCs w:val="1"/>
                <w:color w:val="auto"/>
                <w:w w:val="98"/>
              </w:rPr>
              <w:t>2025</w:t>
            </w: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252"/>
              <w:spacing w:after="0"/>
              <w:rPr>
                <w:sz w:val="20"/>
                <w:szCs w:val="20"/>
                <w:color w:val="auto"/>
              </w:rPr>
            </w:pPr>
            <w:r>
              <w:rPr>
                <w:rFonts w:ascii="Arial" w:cs="Arial" w:eastAsia="Arial" w:hAnsi="Arial"/>
                <w:sz w:val="10"/>
                <w:szCs w:val="10"/>
                <w:b w:val="1"/>
                <w:bCs w:val="1"/>
                <w:color w:val="auto"/>
                <w:w w:val="98"/>
              </w:rPr>
              <w:t>2025</w:t>
            </w:r>
          </w:p>
        </w:tc>
        <w:tc>
          <w:tcPr>
            <w:tcW w:w="0" w:type="dxa"/>
            <w:vAlign w:val="bottom"/>
          </w:tcPr>
          <w:p>
            <w:pPr>
              <w:spacing w:after="0"/>
              <w:rPr>
                <w:sz w:val="1"/>
                <w:szCs w:val="1"/>
                <w:color w:val="auto"/>
              </w:rPr>
            </w:pPr>
          </w:p>
        </w:tc>
      </w:tr>
      <w:tr>
        <w:trPr>
          <w:trHeight w:val="143"/>
        </w:trPr>
        <w:tc>
          <w:tcPr>
            <w:tcW w:w="27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Average Tangible Common Equity</w:t>
            </w:r>
          </w:p>
        </w:tc>
        <w:tc>
          <w:tcPr>
            <w:tcW w:w="3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720" w:type="dxa"/>
            <w:vAlign w:val="bottom"/>
          </w:tcPr>
          <w:p>
            <w:pPr>
              <w:ind w:left="60"/>
              <w:spacing w:after="0"/>
              <w:rPr>
                <w:sz w:val="20"/>
                <w:szCs w:val="20"/>
                <w:color w:val="auto"/>
              </w:rPr>
            </w:pPr>
            <w:r>
              <w:rPr>
                <w:rFonts w:ascii="Arial" w:cs="Arial" w:eastAsia="Arial" w:hAnsi="Arial"/>
                <w:sz w:val="10"/>
                <w:szCs w:val="10"/>
                <w:color w:val="auto"/>
              </w:rPr>
              <w:t>Total stockholders' equity</w:t>
            </w:r>
          </w:p>
        </w:tc>
        <w:tc>
          <w:tcPr>
            <w:tcW w:w="4200" w:type="dxa"/>
            <w:vAlign w:val="bottom"/>
            <w:gridSpan w:val="3"/>
          </w:tcPr>
          <w:p>
            <w:pPr>
              <w:jc w:val="right"/>
              <w:ind w:right="340"/>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52"/>
              <w:spacing w:after="0"/>
              <w:rPr>
                <w:sz w:val="20"/>
                <w:szCs w:val="20"/>
                <w:color w:val="auto"/>
              </w:rPr>
            </w:pPr>
            <w:r>
              <w:rPr>
                <w:rFonts w:ascii="Arial" w:cs="Arial" w:eastAsia="Arial" w:hAnsi="Arial"/>
                <w:sz w:val="10"/>
                <w:szCs w:val="10"/>
                <w:color w:val="auto"/>
              </w:rPr>
              <w:t>670,567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340" w:type="dxa"/>
            <w:vAlign w:val="bottom"/>
          </w:tcPr>
          <w:p>
            <w:pPr>
              <w:jc w:val="right"/>
              <w:ind w:right="52"/>
              <w:spacing w:after="0"/>
              <w:rPr>
                <w:sz w:val="20"/>
                <w:szCs w:val="20"/>
                <w:color w:val="auto"/>
              </w:rPr>
            </w:pPr>
            <w:r>
              <w:rPr>
                <w:rFonts w:ascii="Arial" w:cs="Arial" w:eastAsia="Arial" w:hAnsi="Arial"/>
                <w:sz w:val="10"/>
                <w:szCs w:val="10"/>
                <w:color w:val="auto"/>
              </w:rPr>
              <w:t>608,822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554,715</w:t>
            </w:r>
          </w:p>
        </w:tc>
        <w:tc>
          <w:tcPr>
            <w:tcW w:w="0" w:type="dxa"/>
            <w:vAlign w:val="bottom"/>
          </w:tcPr>
          <w:p>
            <w:pPr>
              <w:spacing w:after="0"/>
              <w:rPr>
                <w:sz w:val="1"/>
                <w:szCs w:val="1"/>
                <w:color w:val="auto"/>
              </w:rPr>
            </w:pPr>
          </w:p>
        </w:tc>
      </w:tr>
      <w:tr>
        <w:trPr>
          <w:trHeight w:val="138"/>
        </w:trPr>
        <w:tc>
          <w:tcPr>
            <w:tcW w:w="2720" w:type="dxa"/>
            <w:vAlign w:val="bottom"/>
            <w:shd w:val="clear" w:color="auto" w:fill="CCEEFF"/>
          </w:tcPr>
          <w:p>
            <w:pPr>
              <w:ind w:left="60"/>
              <w:spacing w:after="0"/>
              <w:rPr>
                <w:sz w:val="20"/>
                <w:szCs w:val="20"/>
                <w:color w:val="auto"/>
              </w:rPr>
            </w:pPr>
            <w:r>
              <w:rPr>
                <w:rFonts w:ascii="Arial" w:cs="Arial" w:eastAsia="Arial" w:hAnsi="Arial"/>
                <w:sz w:val="10"/>
                <w:szCs w:val="10"/>
                <w:color w:val="auto"/>
              </w:rPr>
              <w:t>Less: Goodwill</w:t>
            </w:r>
          </w:p>
        </w:tc>
        <w:tc>
          <w:tcPr>
            <w:tcW w:w="3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67,977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59,820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59,820</w:t>
            </w:r>
          </w:p>
        </w:tc>
        <w:tc>
          <w:tcPr>
            <w:tcW w:w="0" w:type="dxa"/>
            <w:vAlign w:val="bottom"/>
          </w:tcPr>
          <w:p>
            <w:pPr>
              <w:spacing w:after="0"/>
              <w:rPr>
                <w:sz w:val="1"/>
                <w:szCs w:val="1"/>
                <w:color w:val="auto"/>
              </w:rPr>
            </w:pPr>
          </w:p>
        </w:tc>
      </w:tr>
      <w:tr>
        <w:trPr>
          <w:trHeight w:val="132"/>
        </w:trPr>
        <w:tc>
          <w:tcPr>
            <w:tcW w:w="2720" w:type="dxa"/>
            <w:vAlign w:val="bottom"/>
            <w:tcBorders>
              <w:bottom w:val="single" w:sz="8" w:color="CCEEFF"/>
            </w:tcBorders>
          </w:tcPr>
          <w:p>
            <w:pPr>
              <w:ind w:left="60"/>
              <w:spacing w:after="0"/>
              <w:rPr>
                <w:sz w:val="20"/>
                <w:szCs w:val="20"/>
                <w:color w:val="auto"/>
              </w:rPr>
            </w:pPr>
            <w:r>
              <w:rPr>
                <w:rFonts w:ascii="Arial" w:cs="Arial" w:eastAsia="Arial" w:hAnsi="Arial"/>
                <w:sz w:val="10"/>
                <w:szCs w:val="10"/>
                <w:color w:val="auto"/>
              </w:rPr>
              <w:t>Less: Intangible assets</w:t>
            </w:r>
          </w:p>
        </w:tc>
        <w:tc>
          <w:tcPr>
            <w:tcW w:w="37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25,382</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color w:val="auto"/>
              </w:rPr>
              <w:t>15,419</w:t>
            </w: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color w:val="auto"/>
              </w:rPr>
              <w:t>17,480</w:t>
            </w:r>
          </w:p>
        </w:tc>
        <w:tc>
          <w:tcPr>
            <w:tcW w:w="0" w:type="dxa"/>
            <w:vAlign w:val="bottom"/>
          </w:tcPr>
          <w:p>
            <w:pPr>
              <w:spacing w:after="0"/>
              <w:rPr>
                <w:sz w:val="1"/>
                <w:szCs w:val="1"/>
                <w:color w:val="auto"/>
              </w:rPr>
            </w:pPr>
          </w:p>
        </w:tc>
      </w:tr>
      <w:tr>
        <w:trPr>
          <w:trHeight w:val="143"/>
        </w:trPr>
        <w:tc>
          <w:tcPr>
            <w:tcW w:w="2720" w:type="dxa"/>
            <w:vAlign w:val="bottom"/>
            <w:shd w:val="clear" w:color="auto" w:fill="CCEEFF"/>
          </w:tcPr>
          <w:p>
            <w:pPr>
              <w:ind w:left="120"/>
              <w:spacing w:after="0"/>
              <w:rPr>
                <w:sz w:val="20"/>
                <w:szCs w:val="20"/>
                <w:color w:val="auto"/>
              </w:rPr>
            </w:pPr>
            <w:r>
              <w:rPr>
                <w:rFonts w:ascii="Arial" w:cs="Arial" w:eastAsia="Arial" w:hAnsi="Arial"/>
                <w:sz w:val="10"/>
                <w:szCs w:val="10"/>
                <w:b w:val="1"/>
                <w:bCs w:val="1"/>
                <w:color w:val="auto"/>
              </w:rPr>
              <w:t>Average tangible common equity</w:t>
            </w:r>
          </w:p>
        </w:tc>
        <w:tc>
          <w:tcPr>
            <w:tcW w:w="420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577,208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533,583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477,415</w:t>
            </w:r>
          </w:p>
        </w:tc>
        <w:tc>
          <w:tcPr>
            <w:tcW w:w="0" w:type="dxa"/>
            <w:vAlign w:val="bottom"/>
          </w:tcPr>
          <w:p>
            <w:pPr>
              <w:spacing w:after="0"/>
              <w:rPr>
                <w:sz w:val="1"/>
                <w:szCs w:val="1"/>
                <w:color w:val="auto"/>
              </w:rPr>
            </w:pPr>
          </w:p>
        </w:tc>
      </w:tr>
      <w:tr>
        <w:trPr>
          <w:trHeight w:val="126"/>
        </w:trPr>
        <w:tc>
          <w:tcPr>
            <w:tcW w:w="2720" w:type="dxa"/>
            <w:vAlign w:val="bottom"/>
            <w:tcBorders>
              <w:top w:val="single" w:sz="8" w:color="CCEEFF"/>
            </w:tcBorders>
          </w:tcPr>
          <w:p>
            <w:pPr>
              <w:spacing w:after="0"/>
              <w:rPr>
                <w:sz w:val="10"/>
                <w:szCs w:val="10"/>
                <w:color w:val="auto"/>
              </w:rPr>
            </w:pPr>
          </w:p>
        </w:tc>
        <w:tc>
          <w:tcPr>
            <w:tcW w:w="378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auto"/>
              </w:rPr>
              <w:t>Net income</w:t>
            </w:r>
          </w:p>
        </w:tc>
        <w:tc>
          <w:tcPr>
            <w:tcW w:w="4200" w:type="dxa"/>
            <w:vAlign w:val="bottom"/>
            <w:gridSpan w:val="3"/>
            <w:shd w:val="clear" w:color="auto" w:fill="CCEEFF"/>
          </w:tcPr>
          <w:p>
            <w:pPr>
              <w:jc w:val="right"/>
              <w:ind w:right="340"/>
              <w:spacing w:after="0"/>
              <w:rPr>
                <w:sz w:val="20"/>
                <w:szCs w:val="20"/>
                <w:color w:val="auto"/>
              </w:rPr>
            </w:pPr>
            <w:r>
              <w:rPr>
                <w:rFonts w:ascii="Arial" w:cs="Arial" w:eastAsia="Arial" w:hAnsi="Arial"/>
                <w:sz w:val="10"/>
                <w:szCs w:val="10"/>
                <w:color w:val="auto"/>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11,200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18,938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19,075</w:t>
            </w:r>
          </w:p>
        </w:tc>
        <w:tc>
          <w:tcPr>
            <w:tcW w:w="0" w:type="dxa"/>
            <w:vAlign w:val="bottom"/>
          </w:tcPr>
          <w:p>
            <w:pPr>
              <w:spacing w:after="0"/>
              <w:rPr>
                <w:sz w:val="1"/>
                <w:szCs w:val="1"/>
                <w:color w:val="auto"/>
              </w:rPr>
            </w:pPr>
          </w:p>
        </w:tc>
      </w:tr>
      <w:tr>
        <w:trPr>
          <w:trHeight w:val="132"/>
        </w:trPr>
        <w:tc>
          <w:tcPr>
            <w:tcW w:w="2720" w:type="dxa"/>
            <w:vAlign w:val="bottom"/>
          </w:tcPr>
          <w:p>
            <w:pPr>
              <w:spacing w:after="0"/>
              <w:rPr>
                <w:sz w:val="20"/>
                <w:szCs w:val="20"/>
                <w:color w:val="auto"/>
              </w:rPr>
            </w:pPr>
            <w:r>
              <w:rPr>
                <w:rFonts w:ascii="Arial" w:cs="Arial" w:eastAsia="Arial" w:hAnsi="Arial"/>
                <w:sz w:val="10"/>
                <w:szCs w:val="10"/>
                <w:color w:val="auto"/>
              </w:rPr>
              <w:t>Adjusted net income</w:t>
            </w:r>
          </w:p>
        </w:tc>
        <w:tc>
          <w:tcPr>
            <w:tcW w:w="3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tcPr>
          <w:p>
            <w:pPr>
              <w:jc w:val="right"/>
              <w:ind w:right="52"/>
              <w:spacing w:after="0"/>
              <w:rPr>
                <w:sz w:val="20"/>
                <w:szCs w:val="20"/>
                <w:color w:val="auto"/>
              </w:rPr>
            </w:pPr>
            <w:r>
              <w:rPr>
                <w:rFonts w:ascii="Arial" w:cs="Arial" w:eastAsia="Arial" w:hAnsi="Arial"/>
                <w:sz w:val="10"/>
                <w:szCs w:val="10"/>
                <w:color w:val="auto"/>
              </w:rPr>
              <w:t>22,610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Arial" w:cs="Arial" w:eastAsia="Arial" w:hAnsi="Arial"/>
                <w:sz w:val="10"/>
                <w:szCs w:val="10"/>
                <w:color w:val="auto"/>
              </w:rPr>
              <w:t>20,139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19,253</w:t>
            </w:r>
          </w:p>
        </w:tc>
        <w:tc>
          <w:tcPr>
            <w:tcW w:w="0" w:type="dxa"/>
            <w:vAlign w:val="bottom"/>
          </w:tcPr>
          <w:p>
            <w:pPr>
              <w:spacing w:after="0"/>
              <w:rPr>
                <w:sz w:val="1"/>
                <w:szCs w:val="1"/>
                <w:color w:val="auto"/>
              </w:rPr>
            </w:pPr>
          </w:p>
        </w:tc>
      </w:tr>
      <w:tr>
        <w:trPr>
          <w:trHeight w:val="147"/>
        </w:trPr>
        <w:tc>
          <w:tcPr>
            <w:tcW w:w="2720" w:type="dxa"/>
            <w:vAlign w:val="bottom"/>
            <w:shd w:val="clear" w:color="auto" w:fill="CCEEFF"/>
          </w:tcPr>
          <w:p>
            <w:pPr>
              <w:spacing w:after="0"/>
              <w:rPr>
                <w:sz w:val="12"/>
                <w:szCs w:val="12"/>
                <w:color w:val="auto"/>
              </w:rPr>
            </w:pPr>
          </w:p>
        </w:tc>
        <w:tc>
          <w:tcPr>
            <w:tcW w:w="3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720" w:type="dxa"/>
            <w:vAlign w:val="bottom"/>
          </w:tcPr>
          <w:p>
            <w:pPr>
              <w:spacing w:after="0"/>
              <w:rPr>
                <w:sz w:val="20"/>
                <w:szCs w:val="20"/>
                <w:color w:val="auto"/>
              </w:rPr>
            </w:pPr>
            <w:r>
              <w:rPr>
                <w:rFonts w:ascii="Arial" w:cs="Arial" w:eastAsia="Arial" w:hAnsi="Arial"/>
                <w:sz w:val="10"/>
                <w:szCs w:val="10"/>
                <w:color w:val="auto"/>
              </w:rPr>
              <w:t>Return on average stockholders' equity *</w:t>
            </w:r>
          </w:p>
        </w:tc>
        <w:tc>
          <w:tcPr>
            <w:tcW w:w="3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6.77 %</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jc w:val="right"/>
              <w:spacing w:after="0"/>
              <w:rPr>
                <w:sz w:val="20"/>
                <w:szCs w:val="20"/>
                <w:color w:val="auto"/>
              </w:rPr>
            </w:pPr>
            <w:r>
              <w:rPr>
                <w:rFonts w:ascii="Arial" w:cs="Arial" w:eastAsia="Arial" w:hAnsi="Arial"/>
                <w:sz w:val="10"/>
                <w:szCs w:val="10"/>
                <w:color w:val="auto"/>
              </w:rPr>
              <w:t>12.34 %</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right"/>
              <w:spacing w:after="0"/>
              <w:rPr>
                <w:sz w:val="20"/>
                <w:szCs w:val="20"/>
                <w:color w:val="auto"/>
              </w:rPr>
            </w:pPr>
            <w:r>
              <w:rPr>
                <w:rFonts w:ascii="Arial" w:cs="Arial" w:eastAsia="Arial" w:hAnsi="Arial"/>
                <w:sz w:val="10"/>
                <w:szCs w:val="10"/>
                <w:color w:val="auto"/>
              </w:rPr>
              <w:t>13.95 %</w:t>
            </w:r>
          </w:p>
        </w:tc>
        <w:tc>
          <w:tcPr>
            <w:tcW w:w="0" w:type="dxa"/>
            <w:vAlign w:val="bottom"/>
          </w:tcPr>
          <w:p>
            <w:pPr>
              <w:spacing w:after="0"/>
              <w:rPr>
                <w:sz w:val="1"/>
                <w:szCs w:val="1"/>
                <w:color w:val="auto"/>
              </w:rPr>
            </w:pPr>
          </w:p>
        </w:tc>
      </w:tr>
      <w:tr>
        <w:trPr>
          <w:trHeight w:val="138"/>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auto"/>
              </w:rPr>
              <w:t>Return on average tangible common equity *</w:t>
            </w:r>
          </w:p>
        </w:tc>
        <w:tc>
          <w:tcPr>
            <w:tcW w:w="3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7.87</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0"/>
                <w:szCs w:val="10"/>
                <w:color w:val="auto"/>
              </w:rPr>
              <w:t>14.08</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rPr>
              <w:t>16.20</w:t>
            </w:r>
          </w:p>
        </w:tc>
        <w:tc>
          <w:tcPr>
            <w:tcW w:w="0" w:type="dxa"/>
            <w:vAlign w:val="bottom"/>
          </w:tcPr>
          <w:p>
            <w:pPr>
              <w:spacing w:after="0"/>
              <w:rPr>
                <w:sz w:val="1"/>
                <w:szCs w:val="1"/>
                <w:color w:val="auto"/>
              </w:rPr>
            </w:pPr>
          </w:p>
        </w:tc>
      </w:tr>
      <w:tr>
        <w:trPr>
          <w:trHeight w:val="144"/>
        </w:trPr>
        <w:tc>
          <w:tcPr>
            <w:tcW w:w="27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720" w:type="dxa"/>
            <w:vAlign w:val="bottom"/>
            <w:shd w:val="clear" w:color="auto" w:fill="CCEEFF"/>
          </w:tcPr>
          <w:p>
            <w:pPr>
              <w:spacing w:after="0"/>
              <w:rPr>
                <w:sz w:val="20"/>
                <w:szCs w:val="20"/>
                <w:color w:val="auto"/>
              </w:rPr>
            </w:pPr>
            <w:r>
              <w:rPr>
                <w:rFonts w:ascii="Arial" w:cs="Arial" w:eastAsia="Arial" w:hAnsi="Arial"/>
                <w:sz w:val="10"/>
                <w:szCs w:val="10"/>
                <w:color w:val="auto"/>
              </w:rPr>
              <w:t>Adjusted return on average stockholders' equity *</w:t>
            </w:r>
          </w:p>
        </w:tc>
        <w:tc>
          <w:tcPr>
            <w:tcW w:w="3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13.67 %</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13.12 %</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14.08 %</w:t>
            </w:r>
          </w:p>
        </w:tc>
        <w:tc>
          <w:tcPr>
            <w:tcW w:w="0" w:type="dxa"/>
            <w:vAlign w:val="bottom"/>
          </w:tcPr>
          <w:p>
            <w:pPr>
              <w:spacing w:after="0"/>
              <w:rPr>
                <w:sz w:val="1"/>
                <w:szCs w:val="1"/>
                <w:color w:val="auto"/>
              </w:rPr>
            </w:pPr>
          </w:p>
        </w:tc>
      </w:tr>
      <w:tr>
        <w:trPr>
          <w:trHeight w:val="129"/>
        </w:trPr>
        <w:tc>
          <w:tcPr>
            <w:tcW w:w="2720" w:type="dxa"/>
            <w:vAlign w:val="bottom"/>
          </w:tcPr>
          <w:p>
            <w:pPr>
              <w:spacing w:after="0"/>
              <w:rPr>
                <w:sz w:val="20"/>
                <w:szCs w:val="20"/>
                <w:color w:val="auto"/>
              </w:rPr>
            </w:pPr>
            <w:r>
              <w:rPr>
                <w:rFonts w:ascii="Arial" w:cs="Arial" w:eastAsia="Arial" w:hAnsi="Arial"/>
                <w:sz w:val="10"/>
                <w:szCs w:val="10"/>
                <w:color w:val="auto"/>
              </w:rPr>
              <w:t>Adjusted return on average tangible common equity *</w:t>
            </w:r>
          </w:p>
        </w:tc>
        <w:tc>
          <w:tcPr>
            <w:tcW w:w="3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tcPr>
          <w:p>
            <w:pPr>
              <w:jc w:val="right"/>
              <w:ind w:right="52"/>
              <w:spacing w:after="0"/>
              <w:rPr>
                <w:sz w:val="20"/>
                <w:szCs w:val="20"/>
                <w:color w:val="auto"/>
              </w:rPr>
            </w:pPr>
            <w:r>
              <w:rPr>
                <w:rFonts w:ascii="Arial" w:cs="Arial" w:eastAsia="Arial" w:hAnsi="Arial"/>
                <w:sz w:val="10"/>
                <w:szCs w:val="10"/>
                <w:color w:val="auto"/>
              </w:rPr>
              <w:t>15.89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40" w:type="dxa"/>
            <w:vAlign w:val="bottom"/>
          </w:tcPr>
          <w:p>
            <w:pPr>
              <w:jc w:val="right"/>
              <w:ind w:right="52"/>
              <w:spacing w:after="0"/>
              <w:rPr>
                <w:sz w:val="20"/>
                <w:szCs w:val="20"/>
                <w:color w:val="auto"/>
              </w:rPr>
            </w:pPr>
            <w:r>
              <w:rPr>
                <w:rFonts w:ascii="Arial" w:cs="Arial" w:eastAsia="Arial" w:hAnsi="Arial"/>
                <w:sz w:val="10"/>
                <w:szCs w:val="10"/>
                <w:color w:val="auto"/>
              </w:rPr>
              <w:t>14.97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right"/>
              <w:ind w:right="72"/>
              <w:spacing w:after="0"/>
              <w:rPr>
                <w:sz w:val="20"/>
                <w:szCs w:val="20"/>
                <w:color w:val="auto"/>
              </w:rPr>
            </w:pPr>
            <w:r>
              <w:rPr>
                <w:rFonts w:ascii="Arial" w:cs="Arial" w:eastAsia="Arial" w:hAnsi="Arial"/>
                <w:sz w:val="10"/>
                <w:szCs w:val="10"/>
                <w:color w:val="auto"/>
              </w:rPr>
              <w:t>16.36</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8"/>
        <w:spacing w:after="0"/>
        <w:rPr>
          <w:sz w:val="20"/>
          <w:szCs w:val="20"/>
          <w:color w:val="auto"/>
        </w:rPr>
      </w:pPr>
      <w:r>
        <w:rPr>
          <w:rFonts w:ascii="Arial" w:cs="Arial" w:eastAsia="Arial" w:hAnsi="Arial"/>
          <w:sz w:val="10"/>
          <w:szCs w:val="10"/>
          <w:color w:val="auto"/>
        </w:rPr>
        <w:t>____________________________________</w:t>
      </w:r>
    </w:p>
    <w:p>
      <w:pPr>
        <w:spacing w:after="0" w:line="10" w:lineRule="exact"/>
        <w:rPr>
          <w:sz w:val="20"/>
          <w:szCs w:val="20"/>
          <w:color w:val="auto"/>
        </w:rPr>
      </w:pPr>
    </w:p>
    <w:p>
      <w:pPr>
        <w:ind w:left="208" w:hanging="208"/>
        <w:spacing w:after="0"/>
        <w:tabs>
          <w:tab w:leader="none" w:pos="208" w:val="left"/>
        </w:tabs>
        <w:numPr>
          <w:ilvl w:val="0"/>
          <w:numId w:val="10"/>
        </w:numPr>
        <w:rPr>
          <w:rFonts w:ascii="Arial" w:cs="Arial" w:eastAsia="Arial" w:hAnsi="Arial"/>
          <w:sz w:val="10"/>
          <w:szCs w:val="10"/>
          <w:color w:val="auto"/>
        </w:rPr>
      </w:pPr>
      <w:r>
        <w:rPr>
          <w:rFonts w:ascii="Arial" w:cs="Arial" w:eastAsia="Arial" w:hAnsi="Arial"/>
          <w:sz w:val="10"/>
          <w:szCs w:val="10"/>
          <w:color w:val="auto"/>
        </w:rPr>
        <w:t>Annualized measure.</w:t>
      </w:r>
    </w:p>
    <w:p>
      <w:pPr>
        <w:sectPr>
          <w:pgSz w:w="11900" w:h="16838" w:orient="portrait"/>
          <w:cols w:equalWidth="0" w:num="1">
            <w:col w:w="11308"/>
          </w:cols>
          <w:pgMar w:left="292" w:top="135" w:right="299" w:bottom="1440" w:gutter="0" w:footer="0" w:header="0"/>
        </w:sectPr>
      </w:pPr>
    </w:p>
    <w:bookmarkStart w:id="19" w:name="page20"/>
    <w:bookmarkEnd w:id="1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tabs>
          <w:tab w:leader="none" w:pos="208"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5"/>
    </w:lvl>
  </w:abstractNum>
  <w:abstractNum w:abstractNumId="3">
    <w:nsid w:val="41B71EFB"/>
    <w:multiLevelType w:val="hybridMultilevel"/>
    <w:lvl w:ilvl="0">
      <w:lvlJc w:val="left"/>
      <w:lvlText w:val="(%1)"/>
      <w:numFmt w:val="decimal"/>
      <w:start w:val="24"/>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2026-04-27T06:03:24Z</dcterms:created>
  <dcterms:modified xsi:type="dcterms:W3CDTF">2026-04-27T06:03:24Z</dcterms:modified>
</cp:coreProperties>
</file>