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0"/>
        </w:rPr>
      </w:pPr>
      <w:r>
        <w:rPr>
          <w:rFonts w:ascii="Arial;sans-serif" w:hAnsi="Arial;sans-serif"/>
          <w:b/>
          <w:color w:val="000000"/>
          <w:sz w:val="30"/>
        </w:rPr>
        <w:t>UNITED STATES</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Arial;sans-serif" w:hAnsi="Arial;sans-serif"/>
          <w:b/>
          <w:color w:val="000000"/>
          <w:sz w:val="30"/>
        </w:rPr>
      </w:pPr>
      <w:r>
        <w:rPr>
          <w:rFonts w:ascii="Arial;sans-serif" w:hAnsi="Arial;sans-serif"/>
          <w:b/>
          <w:color w:val="000000"/>
          <w:sz w:val="30"/>
        </w:rPr>
        <w:t>FORM 10-Q</w:t>
      </w:r>
    </w:p>
    <w:p>
      <w:pPr>
        <w:pStyle w:val="TextBody"/>
        <w:bidi w:val="0"/>
        <w:spacing w:lineRule="auto" w:line="288" w:before="120" w:after="283"/>
        <w:ind w:left="0" w:right="0" w:hanging="432"/>
        <w:jc w:val="left"/>
        <w:rPr/>
      </w:pPr>
      <w:r>
        <w:rPr>
          <w:color w:val="000000"/>
        </w:rPr>
        <w:t>☒    </w:t>
      </w:r>
      <w:r>
        <w:rPr>
          <w:rFonts w:ascii="Arial;sans-serif" w:hAnsi="Arial;sans-serif"/>
          <w:b/>
          <w:color w:val="000000"/>
          <w:sz w:val="20"/>
        </w:rPr>
        <w:t>QUARTERLY REPORT PURSUANT TO SECTION 13 OR 15(d) OF THE SECURITIES EXCHANGE ACT OF 1934</w:t>
      </w:r>
    </w:p>
    <w:p>
      <w:pPr>
        <w:pStyle w:val="TextBody"/>
        <w:bidi w:val="0"/>
        <w:spacing w:lineRule="auto" w:line="288" w:before="120" w:after="283"/>
        <w:jc w:val="center"/>
        <w:rPr>
          <w:rFonts w:ascii="Arial;sans-serif" w:hAnsi="Arial;sans-serif"/>
          <w:b/>
          <w:color w:val="000000"/>
          <w:sz w:val="16"/>
        </w:rPr>
      </w:pPr>
      <w:r>
        <w:rPr>
          <w:rFonts w:ascii="Arial;sans-serif" w:hAnsi="Arial;sans-serif"/>
          <w:b/>
          <w:color w:val="000000"/>
          <w:sz w:val="16"/>
        </w:rPr>
        <w:t>For the quarterly period ended March 31, 2026</w:t>
      </w:r>
    </w:p>
    <w:p>
      <w:pPr>
        <w:pStyle w:val="TextBody"/>
        <w:bidi w:val="0"/>
        <w:spacing w:lineRule="auto" w:line="288" w:before="12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lineRule="auto" w:line="288" w:before="120" w:after="283"/>
        <w:ind w:left="0" w:right="0" w:hanging="432"/>
        <w:jc w:val="left"/>
        <w:rPr/>
      </w:pPr>
      <w:r>
        <w:rPr>
          <w:color w:val="000000"/>
        </w:rPr>
        <w:t>☐    </w:t>
      </w:r>
      <w:r>
        <w:rPr>
          <w:rFonts w:ascii="Arial;sans-serif" w:hAnsi="Arial;sans-serif"/>
          <w:b/>
          <w:color w:val="000000"/>
          <w:sz w:val="20"/>
        </w:rPr>
        <w:t>TRANSITION REPORT PURSUANT TO SECTION 13 OR 15(d) OF THE SECURITIES EXCHANGE ACT OF 1934</w:t>
      </w:r>
    </w:p>
    <w:p>
      <w:pPr>
        <w:pStyle w:val="TextBody"/>
        <w:bidi w:val="0"/>
        <w:spacing w:lineRule="auto" w:line="288" w:before="120" w:after="283"/>
        <w:jc w:val="center"/>
        <w:rPr>
          <w:rFonts w:ascii="Arial;sans-serif" w:hAnsi="Arial;sans-serif"/>
          <w:b/>
          <w:color w:val="000000"/>
          <w:sz w:val="16"/>
        </w:rPr>
      </w:pPr>
      <w:r>
        <w:rPr>
          <w:rFonts w:ascii="Arial;sans-serif" w:hAnsi="Arial;sans-serif"/>
          <w:b/>
          <w:color w:val="000000"/>
          <w:sz w:val="16"/>
        </w:rPr>
        <w:t>For the transition period from ______ to</w:t>
      </w:r>
    </w:p>
    <w:p>
      <w:pPr>
        <w:pStyle w:val="TextBody"/>
        <w:bidi w:val="0"/>
        <w:spacing w:lineRule="auto" w:line="288" w:before="120" w:after="283"/>
        <w:jc w:val="center"/>
        <w:rPr/>
      </w:pPr>
      <w:r>
        <w:rPr>
          <w:rFonts w:ascii="Arial;sans-serif" w:hAnsi="Arial;sans-serif"/>
          <w:b/>
          <w:color w:val="000000"/>
          <w:sz w:val="16"/>
        </w:rPr>
        <w:t>Commission file number:</w:t>
      </w:r>
      <w:r>
        <w:rPr>
          <w:color w:val="000000"/>
        </w:rPr>
        <w:t xml:space="preserve"> </w:t>
      </w:r>
      <w:r>
        <w:rPr>
          <w:rFonts w:ascii="Arial;sans-serif" w:hAnsi="Arial;sans-serif"/>
          <w:b/>
          <w:color w:val="000000"/>
          <w:sz w:val="16"/>
        </w:rPr>
        <w:t>001-39085</w:t>
      </w:r>
      <w:r>
        <w:rPr>
          <w:color w:val="000000"/>
        </w:rPr>
        <w:t xml:space="preserve"> </w:t>
      </w:r>
    </w:p>
    <w:p>
      <w:pPr>
        <w:pStyle w:val="TextBody"/>
        <w:bidi w:val="0"/>
        <w:spacing w:lineRule="auto" w:line="288" w:before="120" w:after="283"/>
        <w:jc w:val="center"/>
        <w:rPr>
          <w:rFonts w:ascii="Arial;sans-serif" w:hAnsi="Arial;sans-serif"/>
          <w:b/>
          <w:color w:val="000000"/>
          <w:sz w:val="32"/>
        </w:rPr>
      </w:pPr>
      <w:r>
        <w:rPr>
          <w:rFonts w:ascii="Arial;sans-serif" w:hAnsi="Arial;sans-serif"/>
          <w:b/>
          <w:color w:val="000000"/>
          <w:sz w:val="32"/>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923" w:type="dxa"/>
        <w:jc w:val="left"/>
        <w:tblInd w:w="0" w:type="dxa"/>
        <w:tblLayout w:type="fixed"/>
        <w:tblCellMar>
          <w:top w:w="28" w:type="dxa"/>
          <w:left w:w="28" w:type="dxa"/>
          <w:bottom w:w="28" w:type="dxa"/>
          <w:right w:w="28" w:type="dxa"/>
        </w:tblCellMar>
      </w:tblPr>
      <w:tblGrid>
        <w:gridCol w:w="1160"/>
        <w:gridCol w:w="1020"/>
        <w:gridCol w:w="1029"/>
        <w:gridCol w:w="791"/>
        <w:gridCol w:w="791"/>
        <w:gridCol w:w="1132"/>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Delaware</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37-1117216</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401 North Hershey Rd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Bloomington, Illinois 61704</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(309) 662-4444</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including zip code)</w:t>
            </w:r>
          </w:p>
        </w:tc>
        <w:tc>
          <w:tcPr>
            <w:tcW w:w="27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including area code)</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left"/>
        <w:tblInd w:w="0" w:type="dxa"/>
        <w:tblLayout w:type="fixed"/>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HBT</w:t>
            </w:r>
          </w:p>
        </w:tc>
        <w:tc>
          <w:tcPr>
            <w:tcW w:w="340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120" w:after="283"/>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4"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As of April 29, 2026, there were 36,381,078 shares outstanding of the registrant’s common stock, $0.01 par value.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HBT Financial, Inc.</w:t>
      </w:r>
    </w:p>
    <w:tbl>
      <w:tblPr>
        <w:tblW w:w="10205" w:type="dxa"/>
        <w:jc w:val="left"/>
        <w:tblInd w:w="0" w:type="dxa"/>
        <w:tblLayout w:type="fixed"/>
        <w:tblCellMar>
          <w:top w:w="28" w:type="dxa"/>
          <w:left w:w="28" w:type="dxa"/>
          <w:bottom w:w="28" w:type="dxa"/>
          <w:right w:w="28" w:type="dxa"/>
        </w:tblCellMar>
      </w:tblPr>
      <w:tblGrid>
        <w:gridCol w:w="575"/>
        <w:gridCol w:w="506"/>
        <w:gridCol w:w="506"/>
        <w:gridCol w:w="2697"/>
        <w:gridCol w:w="2659"/>
        <w:gridCol w:w="2644"/>
        <w:gridCol w:w="180"/>
        <w:gridCol w:w="180"/>
        <w:gridCol w:w="25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59">
              <w:r>
                <w:rPr>
                  <w:rStyle w:val="InternetLink"/>
                  <w:rFonts w:ascii="Arial;sans-serif" w:hAnsi="Arial;sans-serif"/>
                  <w:b w:val="false"/>
                  <w:color w:val="0000FF"/>
                  <w:sz w:val="20"/>
                  <w:u w:val="single"/>
                </w:rPr>
                <w:t>PART I. FINANCIAL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59">
              <w:r>
                <w:rPr>
                  <w:rStyle w:val="InternetLink"/>
                  <w:rFonts w:ascii="Arial;sans-serif" w:hAnsi="Arial;sans-serif"/>
                  <w:b w:val="false"/>
                  <w:strike w:val="false"/>
                  <w:dstrike w:val="false"/>
                  <w:color w:val="000000"/>
                  <w:sz w:val="20"/>
                  <w:u w:val="none"/>
                  <w:effect w:val="none"/>
                </w:rPr>
                <w:t>3</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62">
              <w:r>
                <w:rPr>
                  <w:rStyle w:val="InternetLink"/>
                  <w:rFonts w:ascii="Arial;sans-serif" w:hAnsi="Arial;sans-serif"/>
                  <w:b w:val="false"/>
                  <w:color w:val="0000FF"/>
                  <w:sz w:val="20"/>
                  <w:u w:val="single"/>
                </w:rPr>
                <w:t>Item 1.</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62">
              <w:r>
                <w:rPr>
                  <w:rStyle w:val="InternetLink"/>
                  <w:rFonts w:ascii="Arial;sans-serif" w:hAnsi="Arial;sans-serif"/>
                  <w:b w:val="false"/>
                  <w:color w:val="0000FF"/>
                  <w:sz w:val="20"/>
                  <w:u w:val="single"/>
                </w:rPr>
                <w:t>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62">
              <w:r>
                <w:rPr>
                  <w:rStyle w:val="InternetLink"/>
                  <w:rFonts w:ascii="Arial;sans-serif" w:hAnsi="Arial;sans-serif"/>
                  <w:b w:val="false"/>
                  <w:strike w:val="false"/>
                  <w:dstrike w:val="false"/>
                  <w:color w:val="000000"/>
                  <w:sz w:val="20"/>
                  <w:u w:val="none"/>
                  <w:effect w:val="none"/>
                </w:rPr>
                <w:t>3</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65">
              <w:r>
                <w:rPr>
                  <w:rStyle w:val="InternetLink"/>
                  <w:rFonts w:ascii="Arial;sans-serif" w:hAnsi="Arial;sans-serif"/>
                  <w:b w:val="false"/>
                  <w:color w:val="0000FF"/>
                  <w:sz w:val="20"/>
                  <w:u w:val="single"/>
                </w:rPr>
                <w:t>Consolidated Balance Sheets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65">
              <w:r>
                <w:rPr>
                  <w:rStyle w:val="InternetLink"/>
                  <w:rFonts w:ascii="Arial;sans-serif" w:hAnsi="Arial;sans-serif"/>
                  <w:b w:val="false"/>
                  <w:strike w:val="false"/>
                  <w:dstrike w:val="false"/>
                  <w:color w:val="000000"/>
                  <w:sz w:val="20"/>
                  <w:u w:val="none"/>
                  <w:effect w:val="none"/>
                </w:rPr>
                <w:t>3</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68">
              <w:r>
                <w:rPr>
                  <w:rStyle w:val="InternetLink"/>
                  <w:rFonts w:ascii="Arial;sans-serif" w:hAnsi="Arial;sans-serif"/>
                  <w:b w:val="false"/>
                  <w:color w:val="0000FF"/>
                  <w:sz w:val="20"/>
                  <w:u w:val="single"/>
                </w:rPr>
                <w:t>Consolidated Statements of Income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68">
              <w:r>
                <w:rPr>
                  <w:rStyle w:val="InternetLink"/>
                  <w:rFonts w:ascii="Arial;sans-serif" w:hAnsi="Arial;sans-serif"/>
                  <w:b w:val="false"/>
                  <w:strike w:val="false"/>
                  <w:dstrike w:val="false"/>
                  <w:color w:val="000000"/>
                  <w:sz w:val="20"/>
                  <w:u w:val="none"/>
                  <w:effect w:val="none"/>
                </w:rPr>
                <w:t>4</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71">
              <w:r>
                <w:rPr>
                  <w:rStyle w:val="InternetLink"/>
                  <w:rFonts w:ascii="Arial;sans-serif" w:hAnsi="Arial;sans-serif"/>
                  <w:b w:val="false"/>
                  <w:color w:val="0000FF"/>
                  <w:sz w:val="20"/>
                  <w:u w:val="single"/>
                </w:rPr>
                <w:t>Consolidated Statements of Comprehensive Income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71">
              <w:r>
                <w:rPr>
                  <w:rStyle w:val="InternetLink"/>
                  <w:rFonts w:ascii="Arial;sans-serif" w:hAnsi="Arial;sans-serif"/>
                  <w:b w:val="false"/>
                  <w:strike w:val="false"/>
                  <w:dstrike w:val="false"/>
                  <w:color w:val="000000"/>
                  <w:sz w:val="20"/>
                  <w:u w:val="none"/>
                  <w:effect w:val="none"/>
                </w:rPr>
                <w:t>5</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77">
              <w:r>
                <w:rPr>
                  <w:rStyle w:val="InternetLink"/>
                  <w:rFonts w:ascii="Arial;sans-serif" w:hAnsi="Arial;sans-serif"/>
                  <w:b w:val="false"/>
                  <w:color w:val="0000FF"/>
                  <w:sz w:val="20"/>
                  <w:u w:val="single"/>
                </w:rPr>
                <w:t>Consolidated Statement of Changes in Stockholders’ Equity</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77">
              <w:r>
                <w:rPr>
                  <w:rStyle w:val="InternetLink"/>
                  <w:rFonts w:ascii="Arial;sans-serif" w:hAnsi="Arial;sans-serif"/>
                  <w:b w:val="false"/>
                  <w:strike w:val="false"/>
                  <w:dstrike w:val="false"/>
                  <w:color w:val="000000"/>
                  <w:sz w:val="20"/>
                  <w:u w:val="none"/>
                  <w:effect w:val="none"/>
                </w:rPr>
                <w:t>6</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83">
              <w:r>
                <w:rPr>
                  <w:rStyle w:val="InternetLink"/>
                  <w:rFonts w:ascii="Arial;sans-serif" w:hAnsi="Arial;sans-serif"/>
                  <w:b w:val="false"/>
                  <w:color w:val="0000FF"/>
                  <w:sz w:val="20"/>
                  <w:u w:val="single"/>
                </w:rPr>
                <w:t>Consolidated Statements of Cash Flows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83">
              <w:r>
                <w:rPr>
                  <w:rStyle w:val="InternetLink"/>
                  <w:rFonts w:ascii="Arial;sans-serif" w:hAnsi="Arial;sans-serif"/>
                  <w:b w:val="false"/>
                  <w:strike w:val="false"/>
                  <w:dstrike w:val="false"/>
                  <w:color w:val="000000"/>
                  <w:sz w:val="20"/>
                  <w:u w:val="none"/>
                  <w:effect w:val="none"/>
                </w:rPr>
                <w:t>7</w:t>
              </w:r>
            </w:hyperlink>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89">
              <w:r>
                <w:rPr>
                  <w:rStyle w:val="InternetLink"/>
                  <w:rFonts w:ascii="Arial;sans-serif" w:hAnsi="Arial;sans-serif"/>
                  <w:b w:val="false"/>
                  <w:color w:val="0000FF"/>
                  <w:sz w:val="20"/>
                  <w:u w:val="single"/>
                </w:rPr>
                <w:t>Notes to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89">
              <w:r>
                <w:rPr>
                  <w:rStyle w:val="InternetLink"/>
                  <w:rFonts w:ascii="Arial;sans-serif" w:hAnsi="Arial;sans-serif"/>
                  <w:b w:val="false"/>
                  <w:strike w:val="false"/>
                  <w:dstrike w:val="false"/>
                  <w:color w:val="000000"/>
                  <w:sz w:val="20"/>
                  <w:u w:val="none"/>
                  <w:effect w:val="none"/>
                </w:rPr>
                <w:t>9</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8">
              <w:r>
                <w:rPr>
                  <w:rStyle w:val="InternetLink"/>
                  <w:rFonts w:ascii="Arial;sans-serif" w:hAnsi="Arial;sans-serif"/>
                  <w:b w:val="false"/>
                  <w:color w:val="0000FF"/>
                  <w:sz w:val="20"/>
                  <w:u w:val="single"/>
                </w:rPr>
                <w:t>Item 2.</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8">
              <w:r>
                <w:rPr>
                  <w:rStyle w:val="InternetLink"/>
                  <w:rFonts w:ascii="Arial;sans-serif" w:hAnsi="Arial;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8">
              <w:r>
                <w:rPr>
                  <w:rStyle w:val="InternetLink"/>
                  <w:rFonts w:ascii="Arial;sans-serif" w:hAnsi="Arial;sans-serif"/>
                  <w:b w:val="false"/>
                  <w:strike w:val="false"/>
                  <w:dstrike w:val="false"/>
                  <w:color w:val="000000"/>
                  <w:sz w:val="20"/>
                  <w:u w:val="none"/>
                  <w:effect w:val="none"/>
                </w:rPr>
                <w:t>52</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44">
              <w:r>
                <w:rPr>
                  <w:rStyle w:val="InternetLink"/>
                  <w:rFonts w:ascii="Arial;sans-serif" w:hAnsi="Arial;sans-serif"/>
                  <w:b w:val="false"/>
                  <w:color w:val="0000FF"/>
                  <w:sz w:val="20"/>
                  <w:u w:val="single"/>
                </w:rPr>
                <w:t>Item 3.</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44">
              <w:r>
                <w:rPr>
                  <w:rStyle w:val="InternetLink"/>
                  <w:rFonts w:ascii="Arial;sans-serif" w:hAnsi="Arial;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44">
              <w:r>
                <w:rPr>
                  <w:rStyle w:val="InternetLink"/>
                  <w:rFonts w:ascii="Arial;sans-serif" w:hAnsi="Arial;sans-serif"/>
                  <w:b w:val="false"/>
                  <w:strike w:val="false"/>
                  <w:dstrike w:val="false"/>
                  <w:color w:val="000000"/>
                  <w:sz w:val="20"/>
                  <w:u w:val="none"/>
                  <w:effect w:val="none"/>
                </w:rPr>
                <w:t>82</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47">
              <w:r>
                <w:rPr>
                  <w:rStyle w:val="InternetLink"/>
                  <w:rFonts w:ascii="Arial;sans-serif" w:hAnsi="Arial;sans-serif"/>
                  <w:b w:val="false"/>
                  <w:color w:val="0000FF"/>
                  <w:sz w:val="20"/>
                  <w:u w:val="single"/>
                </w:rPr>
                <w:t>Item 4.</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247">
              <w:r>
                <w:rPr>
                  <w:rStyle w:val="InternetLink"/>
                  <w:rFonts w:ascii="Arial;sans-serif" w:hAnsi="Arial;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247">
              <w:r>
                <w:rPr>
                  <w:rStyle w:val="InternetLink"/>
                  <w:rFonts w:ascii="Arial;sans-serif" w:hAnsi="Arial;sans-serif"/>
                  <w:b w:val="false"/>
                  <w:strike w:val="false"/>
                  <w:dstrike w:val="false"/>
                  <w:color w:val="000000"/>
                  <w:sz w:val="20"/>
                  <w:u w:val="none"/>
                  <w:effect w:val="none"/>
                </w:rPr>
                <w:t>84</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499">
              <w:r>
                <w:rPr>
                  <w:rStyle w:val="InternetLink"/>
                  <w:rFonts w:ascii="Arial;sans-serif" w:hAnsi="Arial;sans-serif"/>
                  <w:b w:val="false"/>
                  <w:color w:val="0000FF"/>
                  <w:sz w:val="20"/>
                  <w:u w:val="single"/>
                </w:rPr>
                <w:t>PART II.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499">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2">
              <w:r>
                <w:rPr>
                  <w:rStyle w:val="InternetLink"/>
                  <w:rFonts w:ascii="Arial;sans-serif" w:hAnsi="Arial;sans-serif"/>
                  <w:b w:val="false"/>
                  <w:color w:val="0000FF"/>
                  <w:sz w:val="20"/>
                  <w:u w:val="single"/>
                </w:rPr>
                <w:t>Item 1.</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2">
              <w:r>
                <w:rPr>
                  <w:rStyle w:val="InternetLink"/>
                  <w:rFonts w:ascii="Arial;sans-serif" w:hAnsi="Arial;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02">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5">
              <w:r>
                <w:rPr>
                  <w:rStyle w:val="InternetLink"/>
                  <w:rFonts w:ascii="Arial;sans-serif" w:hAnsi="Arial;sans-serif"/>
                  <w:b w:val="false"/>
                  <w:color w:val="0000FF"/>
                  <w:sz w:val="20"/>
                  <w:u w:val="single"/>
                </w:rPr>
                <w:t>Item 1A.</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5">
              <w:r>
                <w:rPr>
                  <w:rStyle w:val="InternetLink"/>
                  <w:rFonts w:ascii="Arial;sans-serif" w:hAnsi="Arial;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05">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8">
              <w:r>
                <w:rPr>
                  <w:rStyle w:val="InternetLink"/>
                  <w:rFonts w:ascii="Arial;sans-serif" w:hAnsi="Arial;sans-serif"/>
                  <w:b w:val="false"/>
                  <w:color w:val="0000FF"/>
                  <w:sz w:val="20"/>
                  <w:u w:val="single"/>
                </w:rPr>
                <w:t>Item 2.</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08">
              <w:r>
                <w:rPr>
                  <w:rStyle w:val="InternetLink"/>
                  <w:rFonts w:ascii="Arial;sans-serif" w:hAnsi="Arial;sans-serif"/>
                  <w:b w:val="false"/>
                  <w:color w:val="0000FF"/>
                  <w:sz w:val="20"/>
                  <w:u w:val="single"/>
                </w:rPr>
                <w:t>Unregistered Sales of Equity Securities, Use of Proceeds, and Issuer Purchases of Equity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08">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1">
              <w:r>
                <w:rPr>
                  <w:rStyle w:val="InternetLink"/>
                  <w:rFonts w:ascii="Arial;sans-serif" w:hAnsi="Arial;sans-serif"/>
                  <w:b w:val="false"/>
                  <w:color w:val="0000FF"/>
                  <w:sz w:val="20"/>
                  <w:u w:val="single"/>
                </w:rPr>
                <w:t>Item 3.</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1">
              <w:r>
                <w:rPr>
                  <w:rStyle w:val="InternetLink"/>
                  <w:rFonts w:ascii="Arial;sans-serif" w:hAnsi="Arial;sans-serif"/>
                  <w:b w:val="false"/>
                  <w:color w:val="0000FF"/>
                  <w:sz w:val="20"/>
                  <w:u w:val="single"/>
                </w:rPr>
                <w:t>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11">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4">
              <w:r>
                <w:rPr>
                  <w:rStyle w:val="InternetLink"/>
                  <w:rFonts w:ascii="Arial;sans-serif" w:hAnsi="Arial;sans-serif"/>
                  <w:b w:val="false"/>
                  <w:color w:val="0000FF"/>
                  <w:sz w:val="20"/>
                  <w:u w:val="single"/>
                </w:rPr>
                <w:t>Item 4.</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4">
              <w:r>
                <w:rPr>
                  <w:rStyle w:val="InternetLink"/>
                  <w:rFonts w:ascii="Arial;sans-serif" w:hAnsi="Arial;sans-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14">
              <w:r>
                <w:rPr>
                  <w:rStyle w:val="InternetLink"/>
                  <w:rFonts w:ascii="Arial;sans-serif" w:hAnsi="Arial;sans-serif"/>
                  <w:b w:val="false"/>
                  <w:strike w:val="false"/>
                  <w:dstrike w:val="false"/>
                  <w:color w:val="000000"/>
                  <w:sz w:val="20"/>
                  <w:u w:val="none"/>
                  <w:effect w:val="none"/>
                </w:rPr>
                <w:t>85</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7">
              <w:r>
                <w:rPr>
                  <w:rStyle w:val="InternetLink"/>
                  <w:rFonts w:ascii="Arial;sans-serif" w:hAnsi="Arial;sans-serif"/>
                  <w:b w:val="false"/>
                  <w:color w:val="0000FF"/>
                  <w:sz w:val="20"/>
                  <w:u w:val="single"/>
                </w:rPr>
                <w:t>Item 5.</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17">
              <w:r>
                <w:rPr>
                  <w:rStyle w:val="InternetLink"/>
                  <w:rFonts w:ascii="Arial;sans-serif" w:hAnsi="Arial;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17">
              <w:r>
                <w:rPr>
                  <w:rStyle w:val="InternetLink"/>
                  <w:rFonts w:ascii="Arial;sans-serif" w:hAnsi="Arial;sans-serif"/>
                  <w:b w:val="false"/>
                  <w:strike w:val="false"/>
                  <w:dstrike w:val="false"/>
                  <w:color w:val="000000"/>
                  <w:sz w:val="20"/>
                  <w:u w:val="none"/>
                  <w:effect w:val="none"/>
                </w:rPr>
                <w:t>86</w:t>
              </w:r>
            </w:hyperlink>
          </w:p>
        </w:tc>
      </w:tr>
      <w:tr>
        <w:trPr/>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20">
              <w:r>
                <w:rPr>
                  <w:rStyle w:val="InternetLink"/>
                  <w:rFonts w:ascii="Arial;sans-serif" w:hAnsi="Arial;sans-serif"/>
                  <w:b w:val="false"/>
                  <w:color w:val="0000FF"/>
                  <w:sz w:val="20"/>
                  <w:u w:val="single"/>
                </w:rPr>
                <w:t>Item 6.</w:t>
              </w:r>
            </w:hyperlink>
          </w:p>
        </w:tc>
        <w:tc>
          <w:tcPr>
            <w:tcW w:w="8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86ec5df462843048e56dc1be32f7dbe_520">
              <w:r>
                <w:rPr>
                  <w:rStyle w:val="InternetLink"/>
                  <w:rFonts w:ascii="Arial;sans-serif" w:hAnsi="Arial;sans-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86ec5df462843048e56dc1be32f7dbe_520">
              <w:r>
                <w:rPr>
                  <w:rStyle w:val="InternetLink"/>
                  <w:rFonts w:ascii="Arial;sans-serif" w:hAnsi="Arial;sans-serif"/>
                  <w:b w:val="false"/>
                  <w:strike w:val="false"/>
                  <w:dstrike w:val="false"/>
                  <w:color w:val="000000"/>
                  <w:sz w:val="20"/>
                  <w:u w:val="none"/>
                  <w:effect w:val="non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Certain statements contained in this Quarterly Report are forward-looking statements. Forward-looking statements may include statements relating to our plans, strategies and expectations, near-term loan growth, net interest margin, mortgage banking profits, wealth management fees, expenses, asset quality, capital levels, continued earnings, and liquidity. Forward-looking statements are generally identifiable by use of the words "believe," "may," "will," "should," "could," "expect," "estimate," "intend," "anticipate," "project," "plan," "propose," "seek," "continue," "predict" or similar terminology and the negative forms of such words. Forward-looking statements are frequently based on assumptions that may or may not materialize and are subject to numerous uncertainties that could cause actual results to differ materially from those anticipated in the forward-looking statements. Factors that could cause actual results to differ materially from the results anticipated or projected and which could materially and adversely affect our operating results, financial condition or prospects include, but are not limited to: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0"/>
        </w:rPr>
        <w:t xml:space="preserve">the strength of the local, state, national, and international economies and financial markets (including effects of inflationary pressures, global energy market conditions, the threat or implementation of tariffs, immigration enforcement and changes in foreign policy);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policy changes in, and the interpretation and prioritization of, local, state and federal laws, regulations and governmental policies, including executive orders;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economic impact of any future terrorist threats and attacks, widespread disease or pandemics, acts of war or other threats thereof (including the Russian invasion of Ukraine and the conflicts in the Middle East), or other adverse events that could cause economic deterioration or instability in credit markets, and the response of the local, state and national governments to any such adverse external events;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new and revised accounting policies and practices, as may be adopted by state and federal regulatory banking agencies, the Financial Accounting Standards Board or the Public Company Accounting Oversight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imposition of tariffs or other governmental policies impacting the value of products produced by the Company's commercial borrowers;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interest rates and prepayment rates of the Company’s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increased competition in the financial services sector, including from non-bank competitors such as credit unions, private credit firms, fintech companies and digital asset service providers and the inability to attract new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technological changes implemented by us and other parties, including our third-party vendors, which may have unforeseen consequences to us and our customers, including the development and implementation of tools incorporating artificial intelligence;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unexpected results of acquisitions, which may include failure to realize the anticipated benefits of acquisitions and the possibility that transaction costs may be greater than anticipated, including the acquisition of CNB Bank Shares, Inc. ("CNB");</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loss of key executives and employees, talent shortages and employee turnover;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consumer spending;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unexpected outcomes or costs of existing or new litigation or other legal proceedings and regulatory actions involving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economic impact on the Company and its customers of climate change, natural disasters and of exceptional weather occurrences such as tornadoes, floods and blizzards;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the value of securities held in our securities portfolio, including as a result of changes in interest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credit risks and risks from concentrations (by type of borrower, geographic area, collateral and industry) within our loan portfolio (including commercial real estate loans) and large loans to certain borrowers;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overall health of the local and national real estate market;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ability to maintain an adequate level of allowance for credit losses on loans;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concentration of large deposits from certain clients who have balances above current FDIC insurance limits and who may withdraw deposits to diversify their exposure;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manage liquidity risk, which may increase dependence on non-core funding sources such as brokered deposits, and may negatively impact the Company’s cost of funds;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level of nonperforming assets on our balance sheets;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interruptions involving our information technology and communications systems or those of our third-party servicers;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occurrence of fraudulent activity, breaches or failures of our third-party vendors’ information security controls or cybersecurity-related incidents, including as a result of sophisticated attacks using artificial intelligence and similar tools or as a result of insider fraud;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effectiveness of the Company’s risk management framework and internal disclosure controls and procedures;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ability of the Company to manage the risks associated with the foregoing as well as anticipated;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factors discussed in "Risk Factors", "Management's Discussion and Analysis of Financial Condition and Results of Operations" or elsewhere in this Quarterly Report on Form 10-Q and in our Annual Report on Form 10-K for the year ended December 31, 2025, filed with the Securities and Exchange Commission (“SEC”) on March 6, 2026.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risks and uncertainties should be considered in evaluating forward-looking statements and undue reliance should not be placed on such statements. Forward-looking statements speak only as of the date they are made. We do not undertake any obligation to update any forward-looking statement in the future, or to reflect circumstances and events that occur after the date on which the forward-looking statement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Arial;sans-serif" w:hAnsi="Arial;sans-serif"/>
          <w:b/>
          <w:color w:val="000000"/>
          <w:sz w:val="20"/>
        </w:rPr>
      </w:pPr>
      <w:r>
        <w:rPr>
          <w:rFonts w:ascii="Arial;sans-serif" w:hAnsi="Arial;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920"/>
        <w:gridCol w:w="2272"/>
        <w:gridCol w:w="2287"/>
        <w:gridCol w:w="196"/>
        <w:gridCol w:w="871"/>
        <w:gridCol w:w="109"/>
        <w:gridCol w:w="109"/>
        <w:gridCol w:w="109"/>
        <w:gridCol w:w="109"/>
        <w:gridCol w:w="196"/>
        <w:gridCol w:w="871"/>
        <w:gridCol w:w="156"/>
      </w:tblGrid>
      <w:tr>
        <w:trPr/>
        <w:tc>
          <w:tcPr>
            <w:tcW w:w="292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deposits with banks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122,269 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time deposits with banks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securities available-for-sale,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813,101 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Debt securities held-to-maturity (fair value of $420,524 at 2026 and $426,799 at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securities with readily determinable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securities with no readily determinable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before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3,456,209 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net of allowance for credit losses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3,414,519 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Bank premises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Bank premises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Foreclosed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Mortgage servicing rights,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Investments in unconsolidated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5,071,390 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1,049,043 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4,461,256 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3,310,220 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5,803,448 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4,359,263 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sold under agreements to repurchase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Subordinated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Junior subordinated debentures issued to capital trusts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6,026,319 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4,455,892 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COMMITMENTS AND CONTINGENCIES (Note 16)</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Preferred stock, $0.01 par value; 25,000,000 shares authorized; none issued or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Common stock, $0.01 par value; 125,000,000 shares authorized; shares issued of 38,451,113 at 2026 and 32,899,104 at 2025; shares outstanding of 36,381,078 at 2026 and 31,431,924 at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Surplus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Treasury stock at cost, 2,070,035 shares at 2026 and 1,467,180 at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615,498 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6,773,724 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5,071,390 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br/>
        <w:t xml:space="preserve">(Unaudited) </w:t>
      </w:r>
    </w:p>
    <w:tbl>
      <w:tblPr>
        <w:tblW w:w="9900" w:type="dxa"/>
        <w:jc w:val="center"/>
        <w:tblInd w:w="0" w:type="dxa"/>
        <w:tblLayout w:type="fixed"/>
        <w:tblCellMar>
          <w:top w:w="28" w:type="dxa"/>
          <w:left w:w="28" w:type="dxa"/>
          <w:bottom w:w="28" w:type="dxa"/>
          <w:right w:w="28" w:type="dxa"/>
        </w:tblCellMar>
      </w:tblPr>
      <w:tblGrid>
        <w:gridCol w:w="2026"/>
        <w:gridCol w:w="1778"/>
        <w:gridCol w:w="1790"/>
        <w:gridCol w:w="109"/>
        <w:gridCol w:w="109"/>
        <w:gridCol w:w="237"/>
        <w:gridCol w:w="237"/>
        <w:gridCol w:w="427"/>
        <w:gridCol w:w="1409"/>
        <w:gridCol w:w="237"/>
        <w:gridCol w:w="109"/>
        <w:gridCol w:w="109"/>
        <w:gridCol w:w="109"/>
        <w:gridCol w:w="196"/>
        <w:gridCol w:w="646"/>
        <w:gridCol w:w="109"/>
        <w:gridCol w:w="109"/>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541" w:type="dxa"/>
            <w:gridSpan w:val="8"/>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Federally tax exempt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Federally tax exempt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deposits in bank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sold under agreements to repurchase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Subordinated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Junior subordinated debentures issued to capital 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56,543 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Wealth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Mortgage servicing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Mortgage servicing rights fair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sale of 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gains (losses)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(losses) on foreclosed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(losses) on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on bank owned life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Occupancy of bank premises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Furniture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customer relations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FDIC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 collection and servicing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Foreclosed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52,437 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15,050 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WEIGHTED AVERAGE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33,180,009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31,584,989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COMPREHENSIVE INCOME </w:t>
        <w:br/>
        <w:t>(Unaudited)</w:t>
      </w:r>
    </w:p>
    <w:tbl>
      <w:tblPr>
        <w:tblW w:w="10205" w:type="dxa"/>
        <w:jc w:val="left"/>
        <w:tblInd w:w="0" w:type="dxa"/>
        <w:tblLayout w:type="fixed"/>
        <w:tblCellMar>
          <w:top w:w="28" w:type="dxa"/>
          <w:left w:w="28" w:type="dxa"/>
          <w:bottom w:w="28" w:type="dxa"/>
          <w:right w:w="28" w:type="dxa"/>
        </w:tblCellMar>
      </w:tblPr>
      <w:tblGrid>
        <w:gridCol w:w="2371"/>
        <w:gridCol w:w="1988"/>
        <w:gridCol w:w="2003"/>
        <w:gridCol w:w="109"/>
        <w:gridCol w:w="109"/>
        <w:gridCol w:w="165"/>
        <w:gridCol w:w="165"/>
        <w:gridCol w:w="321"/>
        <w:gridCol w:w="1144"/>
        <w:gridCol w:w="165"/>
        <w:gridCol w:w="109"/>
        <w:gridCol w:w="109"/>
        <w:gridCol w:w="109"/>
        <w:gridCol w:w="211"/>
        <w:gridCol w:w="751"/>
        <w:gridCol w:w="109"/>
        <w:gridCol w:w="109"/>
        <w:gridCol w:w="158"/>
      </w:tblGrid>
      <w:tr>
        <w:trPr/>
        <w:tc>
          <w:tcPr>
            <w:tcW w:w="2371"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65" w:type="dxa"/>
            <w:gridSpan w:val="8"/>
            <w:tcBorders/>
          </w:tcPr>
          <w:p>
            <w:pPr>
              <w:pStyle w:val="TableContents"/>
              <w:bidi w:val="0"/>
              <w:spacing w:before="0" w:after="283"/>
              <w:jc w:val="left"/>
              <w:rPr>
                <w:sz w:val="4"/>
                <w:szCs w:val="4"/>
              </w:rPr>
            </w:pPr>
            <w:r>
              <w:rPr>
                <w:sz w:val="4"/>
                <w:szCs w:val="4"/>
              </w:rPr>
            </w:r>
          </w:p>
        </w:tc>
      </w:tr>
      <w:tr>
        <w:trPr/>
        <w:tc>
          <w:tcPr>
            <w:tcW w:w="6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gains (losses) on debt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 adjustment for amortization of net unrealized losses on debt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 adjustment for net settlements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other comprehensive 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(6,046)</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11,554 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(4,353)</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6,847 </w:t>
            </w:r>
          </w:p>
        </w:tc>
        <w:tc>
          <w:tcPr>
            <w:tcW w:w="16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CHANGES IN STOCKHOLDERS’ EQUITY </w:t>
        <w:br/>
        <w:t>(Unaudited)</w:t>
      </w:r>
    </w:p>
    <w:tbl>
      <w:tblPr>
        <w:tblW w:w="11721" w:type="dxa"/>
        <w:jc w:val="left"/>
        <w:tblInd w:w="0" w:type="dxa"/>
        <w:tblLayout w:type="fixed"/>
        <w:tblCellMar>
          <w:top w:w="28" w:type="dxa"/>
          <w:left w:w="28" w:type="dxa"/>
          <w:bottom w:w="28" w:type="dxa"/>
          <w:right w:w="28" w:type="dxa"/>
        </w:tblCellMar>
      </w:tblPr>
      <w:tblGrid>
        <w:gridCol w:w="847"/>
        <w:gridCol w:w="296"/>
        <w:gridCol w:w="298"/>
        <w:gridCol w:w="563"/>
        <w:gridCol w:w="563"/>
        <w:gridCol w:w="371"/>
        <w:gridCol w:w="109"/>
        <w:gridCol w:w="109"/>
        <w:gridCol w:w="109"/>
        <w:gridCol w:w="211"/>
        <w:gridCol w:w="481"/>
        <w:gridCol w:w="109"/>
        <w:gridCol w:w="109"/>
        <w:gridCol w:w="109"/>
        <w:gridCol w:w="109"/>
        <w:gridCol w:w="211"/>
        <w:gridCol w:w="856"/>
        <w:gridCol w:w="109"/>
        <w:gridCol w:w="109"/>
        <w:gridCol w:w="109"/>
        <w:gridCol w:w="109"/>
        <w:gridCol w:w="211"/>
        <w:gridCol w:w="856"/>
        <w:gridCol w:w="109"/>
        <w:gridCol w:w="109"/>
        <w:gridCol w:w="109"/>
        <w:gridCol w:w="109"/>
        <w:gridCol w:w="266"/>
        <w:gridCol w:w="947"/>
        <w:gridCol w:w="138"/>
        <w:gridCol w:w="109"/>
        <w:gridCol w:w="109"/>
        <w:gridCol w:w="109"/>
        <w:gridCol w:w="211"/>
        <w:gridCol w:w="751"/>
        <w:gridCol w:w="109"/>
        <w:gridCol w:w="109"/>
        <w:gridCol w:w="109"/>
        <w:gridCol w:w="109"/>
        <w:gridCol w:w="215"/>
        <w:gridCol w:w="873"/>
        <w:gridCol w:w="158"/>
      </w:tblGrid>
      <w:tr>
        <w:trPr/>
        <w:tc>
          <w:tcPr>
            <w:tcW w:w="8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4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br/>
              <w:t>Outstanding</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December 31, 2025</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31,431,924 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615,498 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vesting of restricted stock units, net of tax withholdings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53,878 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in CNB acquisition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5,498,131 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(602,855)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dividends and dividend equivalents ($0.23 per share)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March 31, 2026</w:t>
            </w:r>
          </w:p>
        </w:tc>
        <w:tc>
          <w:tcPr>
            <w:tcW w:w="112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36,381,078 </w:t>
            </w:r>
          </w:p>
        </w:tc>
        <w:tc>
          <w:tcPr>
            <w:tcW w:w="3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446,555 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371,093 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(27,371)</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(43,257)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747,405 </w:t>
            </w:r>
          </w:p>
        </w:tc>
        <w:tc>
          <w:tcPr>
            <w:tcW w:w="1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December 31, 2024</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31,559,366 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(46,765)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544,605 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upon vesting of restricted stock units, net of tax withholdings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72,065 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dividends and dividend equivalents ($0.21 per share)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March 31, 2025</w:t>
            </w:r>
          </w:p>
        </w:tc>
        <w:tc>
          <w:tcPr>
            <w:tcW w:w="112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31,631,431 </w:t>
            </w:r>
          </w:p>
        </w:tc>
        <w:tc>
          <w:tcPr>
            <w:tcW w:w="3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297,024 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329,169 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(38,446)</w:t>
            </w:r>
          </w:p>
        </w:tc>
        <w:tc>
          <w:tcPr>
            <w:tcW w:w="1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(23,019)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565,057 </w:t>
            </w:r>
          </w:p>
        </w:tc>
        <w:tc>
          <w:tcPr>
            <w:tcW w:w="1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br/>
        <w:t>(Unaudited)</w:t>
      </w:r>
    </w:p>
    <w:tbl>
      <w:tblPr>
        <w:tblW w:w="8989" w:type="dxa"/>
        <w:jc w:val="left"/>
        <w:tblInd w:w="0" w:type="dxa"/>
        <w:tblLayout w:type="fixed"/>
        <w:tblCellMar>
          <w:top w:w="28" w:type="dxa"/>
          <w:left w:w="28" w:type="dxa"/>
          <w:bottom w:w="28" w:type="dxa"/>
          <w:right w:w="28" w:type="dxa"/>
        </w:tblCellMar>
      </w:tblPr>
      <w:tblGrid>
        <w:gridCol w:w="2240"/>
        <w:gridCol w:w="1967"/>
        <w:gridCol w:w="1973"/>
        <w:gridCol w:w="224"/>
        <w:gridCol w:w="739"/>
        <w:gridCol w:w="124"/>
        <w:gridCol w:w="124"/>
        <w:gridCol w:w="124"/>
        <w:gridCol w:w="124"/>
        <w:gridCol w:w="224"/>
        <w:gridCol w:w="739"/>
        <w:gridCol w:w="124"/>
        <w:gridCol w:w="109"/>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amortization of debt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expense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accretion of discount and deferred loan fees on loans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unrealized loss (gain) on equity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on disposals of bank premises and equipment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gain on sales of bank premises held for sale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losses on bank premises held for sale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gain on sales of foreclosed assets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Write-down of foreclosed assets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Decrease (increase) in fair value of mortgage servicing rights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discount and issuance costs on subordinated notes and debentures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discount on Federal Home Loan Bank advances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premium on time deposits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Mortgage loans originated for sale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mortgage loans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gain on sale of mortgage loans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Increase in cash surrender value of bank owned life insurance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Decrease in accrued interest receivable </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Decrease (increase) in other assets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(5,016)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Increase in other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96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28,521 </w:t>
            </w:r>
          </w:p>
        </w:tc>
        <w:tc>
          <w:tcPr>
            <w:tcW w:w="12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30,440 </w:t>
            </w:r>
          </w:p>
        </w:tc>
        <w:tc>
          <w:tcPr>
            <w:tcW w:w="12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br/>
        <w:t>(Unaudited)</w:t>
      </w:r>
    </w:p>
    <w:tbl>
      <w:tblPr>
        <w:tblW w:w="8539" w:type="dxa"/>
        <w:jc w:val="left"/>
        <w:tblInd w:w="0" w:type="dxa"/>
        <w:tblLayout w:type="fixed"/>
        <w:tblCellMar>
          <w:top w:w="28" w:type="dxa"/>
          <w:left w:w="28" w:type="dxa"/>
          <w:bottom w:w="28" w:type="dxa"/>
          <w:right w:w="28" w:type="dxa"/>
        </w:tblCellMar>
      </w:tblPr>
      <w:tblGrid>
        <w:gridCol w:w="2077"/>
        <w:gridCol w:w="1823"/>
        <w:gridCol w:w="1829"/>
        <w:gridCol w:w="207"/>
        <w:gridCol w:w="779"/>
        <w:gridCol w:w="115"/>
        <w:gridCol w:w="115"/>
        <w:gridCol w:w="115"/>
        <w:gridCol w:w="115"/>
        <w:gridCol w:w="207"/>
        <w:gridCol w:w="779"/>
        <w:gridCol w:w="115"/>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sales of debt securities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313,077 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paydowns, maturities, and calls of debt securities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debt securities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equity securities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loans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 loans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redemption of restricted stock</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bank premises and equipment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sales of bank premises held for sale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sales of foreclosed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received in acquisition of CNB Bank Shares, Inc.</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provided by investing activities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234,061 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deposits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 repurchase agreements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long-term Federal Home Loan Bank advances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long-term Federal Home Loan Bank advances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subordinated notes, net of issuance costs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83,997 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Taxes paid related to the vesting of restricted stock units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dividends and dividend equivalents paid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(97,198)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INCREASE IN CASH AND CASH EQUIVALENTS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165,384 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73,899 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122,269 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20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287,653 </w:t>
            </w:r>
          </w:p>
        </w:tc>
        <w:tc>
          <w:tcPr>
            <w:tcW w:w="11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211,591 </w:t>
            </w:r>
          </w:p>
        </w:tc>
        <w:tc>
          <w:tcPr>
            <w:tcW w:w="11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paid for income taxes</w:t>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DISCLOSURES OF NONCASH INVESTING ACTIVITIES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Transfers of loans to foreclosed assets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Transfers of bank premises and equipment to bank premises held for sale</w:t>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 – ACCOUNTING POLICIES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HBT Financial, Inc. (“HBT Financial” or the “Company”) is headquartered in Bloomington, Illinois and is the holding company for Heartland Bank and Trust Company (“Heartland Bank” or the “Bank”). The Bank provides a comprehensive suite of financial products and services to consumers, businesses, and municipal entities throughout Illinois, eastern Iowa, and suburban St. Louis. Additionally, the Company is subject to the regulations of certain federal and state agencies and undergoes periodic examinations by those regulatory agencies.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unaudited consolidated financial statements, including the notes thereto, have been prepared in accordance with accounting principles generally accepted in the U.S. (“GAAP”) interim reporting requirements. Certain information in footnote disclosures normally included in financial statements prepared in accordance with GAAP has been condensed or omitted pursuant to rules and regulations of the SEC. These interim unaudited consolidated financial statements and notes thereto should be read in conjunction with the Company’s audited consolidated financial statements and accompanying notes included in the Company’s Annual Report on Form 10-K for the year ended December 31, 2025, filed with the SEC on March 6,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unaudited consolidated financial statements include all normal, recurring adjustments necessary for a fair presentation of the results for the interim periods. The results for interim periods are not necessarily indicative of results for a full year.</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in conformity with GAAP. In preparing the financial statements, management is required to make estimates and assumptions that affect the reported amounts of assets and liabilities as of the date of the balance sheet and the reported results of operations for the periods then ended.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Actual results could differ significantly from those estimates. Material estimates that are particularly susceptible to significant changes in the near term relate to the determination of the allowance for credit losses and fair value of assets acquired and liabilities assumed in business combinations.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Reclassifications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Certain prior period amounts have been reclassified to conform to the current period presentation without any impact on the reported amounts of net income or stockholders’ equity.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Subsequent Events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preparing these consolidated financial statements, the Company has evaluated events and transactions for potential recognition or disclosure through the date the financial statements were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Impact of Recently Adopted Accounting Standards</w:t>
      </w:r>
    </w:p>
    <w:p>
      <w:pPr>
        <w:pStyle w:val="TextBody"/>
        <w:bidi w:val="0"/>
        <w:spacing w:lineRule="auto" w:line="288" w:before="240" w:after="283"/>
        <w:jc w:val="both"/>
        <w:rPr/>
      </w:pPr>
      <w:r>
        <w:rPr>
          <w:rFonts w:ascii="Arial;sans-serif" w:hAnsi="Arial;sans-serif"/>
          <w:b w:val="false"/>
          <w:color w:val="000000"/>
          <w:sz w:val="20"/>
        </w:rPr>
        <w:t xml:space="preserve">On January 1, 2026, the Company adopted Accounting Standards Update ("ASU") 2025-08, </w:t>
      </w:r>
      <w:r>
        <w:rPr>
          <w:rFonts w:ascii="Arial;sans-serif" w:hAnsi="Arial;sans-serif"/>
          <w:b w:val="false"/>
          <w:i/>
          <w:color w:val="000000"/>
          <w:sz w:val="20"/>
        </w:rPr>
        <w:t xml:space="preserve">Financial Instruments - Credit Losses (Topic 326): Purchased Loans, </w:t>
      </w:r>
      <w:r>
        <w:rPr>
          <w:rFonts w:ascii="Arial;sans-serif" w:hAnsi="Arial;sans-serif"/>
          <w:b w:val="false"/>
          <w:color w:val="000000"/>
          <w:sz w:val="20"/>
        </w:rPr>
        <w:t>which expands the population of acquired financial assets subject to the gross-up approach in Topic 326. Loans (excluding credit cards) acquired without credit deterioration and deemed "seasoned" are purchased seasoned loans and accounted for using the gross-up approach at acquisition. All non-PCD loans (excluding credit cards) that are acquired in a business combination are deemed seasoned. Other non-PCD loans (excluding credit cards) are seasoned if they were purchased at least 90 days after origination and the acquirer was not involved in the origination of the loans. This standard is applied on a prospective basis and eliminates the day 1 provision for credit losses which prior to adoption of ASU 2025-08 would have been recognized on eligible purchased loans, including the non-PCD loans acquired from CNB Bank Shares, Inc. ("CNB").</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ASU 2024-03 provides more decision-useful information about a public entity's expenses by requiring additional detail on expenses reported in income statements. Under the ASU, public entities will provide detailed disclosure in interim and annual periods of specified categories underlying certain expense captions. The ASU requires public entities to apply the amendments prospectively, with an option to use retrospective application. The amendments in this update are effective for years beginning after December 15, 2026, and interim periods within fiscal years beginning after December 15, 2027. Early adoption is permitted. This standard is not expected to have a material impact on the Company's consolidated results of operations or financial position.</w:t>
      </w:r>
    </w:p>
    <w:p>
      <w:pPr>
        <w:pStyle w:val="TextBody"/>
        <w:bidi w:val="0"/>
        <w:spacing w:lineRule="auto" w:line="288" w:before="240" w:after="283"/>
        <w:jc w:val="both"/>
        <w:rPr/>
      </w:pPr>
      <w:r>
        <w:rPr>
          <w:rFonts w:ascii="Arial;sans-serif" w:hAnsi="Arial;sans-serif"/>
          <w:b w:val="false"/>
          <w:color w:val="000000"/>
          <w:sz w:val="20"/>
        </w:rPr>
        <w:t xml:space="preserve">In November 2025, the FASB issued ASU 2025-09, </w:t>
      </w:r>
      <w:r>
        <w:rPr>
          <w:rFonts w:ascii="Arial;sans-serif" w:hAnsi="Arial;sans-serif"/>
          <w:b w:val="false"/>
          <w:i/>
          <w:color w:val="000000"/>
          <w:sz w:val="20"/>
        </w:rPr>
        <w:t>Derivatives and Hedging (Topic 815): Hedge Accounting Improvements.</w:t>
      </w:r>
      <w:r>
        <w:rPr>
          <w:color w:val="000000"/>
        </w:rPr>
        <w:t xml:space="preserve"> </w:t>
      </w:r>
      <w:r>
        <w:rPr>
          <w:rFonts w:ascii="Arial;sans-serif" w:hAnsi="Arial;sans-serif"/>
          <w:b w:val="false"/>
          <w:color w:val="000000"/>
          <w:sz w:val="20"/>
        </w:rPr>
        <w:t xml:space="preserve">ASU 2025-09 provides clarification on certain aspects of the guidance on hedge accounting and addresses several incremental hedge accounting issues arising from the global reference rate reform. Consistent with the original objective of ASU 2017-12, </w:t>
      </w:r>
      <w:r>
        <w:rPr>
          <w:rFonts w:ascii="Arial;sans-serif" w:hAnsi="Arial;sans-serif"/>
          <w:b w:val="false"/>
          <w:i/>
          <w:color w:val="000000"/>
          <w:sz w:val="20"/>
        </w:rPr>
        <w:t>Derivatives and Hedging (Topic 815): Targeted Improvements to Accounting for Hedging Activities</w:t>
      </w:r>
      <w:r>
        <w:rPr>
          <w:rFonts w:ascii="Arial;sans-serif" w:hAnsi="Arial;sans-serif"/>
          <w:b w:val="false"/>
          <w:color w:val="000000"/>
          <w:sz w:val="20"/>
        </w:rPr>
        <w:t>, the objective of ASU 2025-09 is to more closely align hedge accounting with the economics of an entity's risk management activities. The ASU requires public entities to apply the amendments prospectively. The amendments in this update are effective for years beginning after December 15, 2026, and interim periods within those annual reporting periods. Early adoption is permitted. This standard is not expected to have a material impact on the Company's consolidated results of operations or financial position.</w:t>
      </w:r>
    </w:p>
    <w:p>
      <w:pPr>
        <w:pStyle w:val="TextBody"/>
        <w:bidi w:val="0"/>
        <w:spacing w:lineRule="auto" w:line="288" w:before="240" w:after="283"/>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ASU 2025-11 clarifies interim disclosure requirements and the applicability of Topic 270, Interim Reporting. The amendments result in a comprehensive list of interim disclosures required by GAAP. The amendment also adds a principle that requires entities to disclose events since the end of the last annual reporting period that have a material impact on the entity. The ASU allows public entities to apply the amendments either prospectively or retrospectively. The amendments in this update are effective for interim periods within annual reporting periods beginning after December 15, 2027. Early adoption is permitted. This standard is not expected to have a material impact on the Company's consolidated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 – BUSINESS COMBINATIONS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CNB Bank Shares, Inc.</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March 1, 2026, HBT Financial acquired 100% of the issued and outstanding common stock of CNB Bank Shares, Inc., the holding company for CNB Bank &amp; Trust, N.A. (“CNB Bank”), pursuant to an Agreement and Plan of Merger dated October 20, 2025. Under the Agreement and Plan of Merger, CNB merged with and into HBT Financial, with HBT Financial as the surviving entity, immediately followed by the merger of CNB Bank with and into Heartland Bank, with Heartland Bank as the surviving entity.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the effective time of the merger, each share of CNB was converted into the right to receive, subject to the election and proration procedures as provided in the Merger Agreement, one of the following: (i) 1.0434 shares of HBT Financial's common stock, or (ii) $27.73 in cash, or (iii) a combination of cash and HBT Financial common stock. Total consideration consisted of 5.5 million shares of HBT Financial's common stock and $33.8 million in cash. In lieu of fractional shares of HBT Financial stock, holders of CNB common stock received cash. Based on the closing price of HBT Financial common stock of $26.96 on February 27, 2026, the aggregate transaction value was approximately $182.1 million.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transaction was accounted for using the acquisition method of accounting and, accordingly, assets acquired, liabilities assumed, and consideration exchanged were recorded at estimated fair values on the date of acquisition. Given the timing of the acquisition, fair values are subject to refinement up to one year after the closing date of March 1, 2026. Goodwill of $23.7 million was recorded in the acquisition, which reflects expected synergies from combining the operations of HBT Financial and CNB, and is nondeductible for tax purposes.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acquisition of CNB further enhanced HBT Financial's footprint in the central Illinois, Chicago MSA, and suburban St. Louis markets. Acquisition-related expenses recognized during the three months ended March 31, 2026 and 2025 are summarized below.</w:t>
      </w:r>
    </w:p>
    <w:tbl>
      <w:tblPr>
        <w:tblW w:w="8371" w:type="dxa"/>
        <w:jc w:val="left"/>
        <w:tblInd w:w="0" w:type="dxa"/>
        <w:tblLayout w:type="fixed"/>
        <w:tblCellMar>
          <w:top w:w="28" w:type="dxa"/>
          <w:left w:w="28" w:type="dxa"/>
          <w:bottom w:w="28" w:type="dxa"/>
          <w:right w:w="28" w:type="dxa"/>
        </w:tblCellMar>
      </w:tblPr>
      <w:tblGrid>
        <w:gridCol w:w="1566"/>
        <w:gridCol w:w="1374"/>
        <w:gridCol w:w="1380"/>
        <w:gridCol w:w="109"/>
        <w:gridCol w:w="109"/>
        <w:gridCol w:w="221"/>
        <w:gridCol w:w="221"/>
        <w:gridCol w:w="221"/>
        <w:gridCol w:w="221"/>
        <w:gridCol w:w="620"/>
        <w:gridCol w:w="377"/>
        <w:gridCol w:w="320"/>
        <w:gridCol w:w="109"/>
        <w:gridCol w:w="109"/>
        <w:gridCol w:w="109"/>
        <w:gridCol w:w="579"/>
        <w:gridCol w:w="300"/>
        <w:gridCol w:w="426"/>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c>
          <w:tcPr>
            <w:tcW w:w="1632" w:type="dxa"/>
            <w:gridSpan w:val="6"/>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Occupancy of bank premises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Marketing and customer relations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 collection and servicing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fees and other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assets acquired and liabilities assumed from CNB on the acquisition date of March 1, 2026 were as follows (dollars in thousands):</w:t>
      </w:r>
    </w:p>
    <w:tbl>
      <w:tblPr>
        <w:tblW w:w="4943" w:type="dxa"/>
        <w:jc w:val="left"/>
        <w:tblInd w:w="0" w:type="dxa"/>
        <w:tblLayout w:type="fixed"/>
        <w:tblCellMar>
          <w:top w:w="28" w:type="dxa"/>
          <w:left w:w="28" w:type="dxa"/>
          <w:bottom w:w="28" w:type="dxa"/>
          <w:right w:w="28" w:type="dxa"/>
        </w:tblCellMar>
      </w:tblPr>
      <w:tblGrid>
        <w:gridCol w:w="1336"/>
        <w:gridCol w:w="1172"/>
        <w:gridCol w:w="1181"/>
        <w:gridCol w:w="413"/>
        <w:gridCol w:w="401"/>
        <w:gridCol w:w="440"/>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 acquired:</w:t>
            </w:r>
          </w:p>
        </w:tc>
        <w:tc>
          <w:tcPr>
            <w:tcW w:w="125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48,873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Interest-bearing time deposits with banks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securities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364,930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3,868</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held for sale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before allowance for credit losses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1,296,340</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Allowance for credit losses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(19,957)</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net of allowance for credit losses</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1,276,383</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Bank owned life insurance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12,829</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Bank premises and equipment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16,126</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30,083</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held for sale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 servicing rights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2,949</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 receivable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13,795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13,995</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 acquired</w:t>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1,790,263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assumed:</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1,516,838</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18,354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FHLB advances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71,839</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24,849</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1,631,880</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assets acquired</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158,383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Consideration paid:</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4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33,837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148,230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consideration paid</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182,067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Goodwill</w:t>
            </w:r>
          </w:p>
        </w:tc>
        <w:tc>
          <w:tcPr>
            <w:tcW w:w="4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Of the loans acquired, there were $163.9 million which exhibited more-than-insignificant credit deterioration on the acquisition date. The following table provides a summary of these PCD loans at acquisition (dollars in thousands):</w:t>
      </w:r>
    </w:p>
    <w:tbl>
      <w:tblPr>
        <w:tblW w:w="4977" w:type="dxa"/>
        <w:jc w:val="left"/>
        <w:tblInd w:w="0" w:type="dxa"/>
        <w:tblLayout w:type="fixed"/>
        <w:tblCellMar>
          <w:top w:w="28" w:type="dxa"/>
          <w:left w:w="28" w:type="dxa"/>
          <w:bottom w:w="28" w:type="dxa"/>
          <w:right w:w="28" w:type="dxa"/>
        </w:tblCellMar>
      </w:tblPr>
      <w:tblGrid>
        <w:gridCol w:w="1328"/>
        <w:gridCol w:w="1171"/>
        <w:gridCol w:w="1175"/>
        <w:gridCol w:w="304"/>
        <w:gridCol w:w="506"/>
        <w:gridCol w:w="493"/>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Unpaid principal balance</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163,879</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Allowance for credit losses at acquisition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Non-credit discount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(10,121)</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Purchase price</w:t>
            </w:r>
          </w:p>
        </w:tc>
        <w:tc>
          <w:tcPr>
            <w:tcW w:w="3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151,249</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Intangible assets consist of core deposit intangible and customer relationship intangible assets with definite useful lives which are amortized over a 10 year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CNB information was fully integrated into HBT Financial's processes and systems during the system conversion in the first quarter of 2026, and as a result standalone CNB financial results are not available.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provides the pro forma information for the results of operations for the three months ended March 31, 2026 and 2025 as if the acquisition of CNB had occurred on January 1, 2025. The pro forma results combine the historical results of CNB into HBT Financial’s consolidated statements of income, including the impact of certain acquisition accounting adjustments, which include loan discount accretion, securities discount accretion, intangible assets amortization, deposit premium amortization, and borrowing premium amortization. The pro forma results have been prepared for comparative purposes only and are not necessarily indicative of the results that would have been obtained had the acquisition actually occurred on January 1, 2025. No assumptions have been applied to the pro forma results of operations regarding possible revenue enhancements, provision for credit losses, expense efficiencies or asset dispositions. The acquisition-related expenses that have been recognized are included in net income in the following table.</w:t>
      </w:r>
    </w:p>
    <w:tbl>
      <w:tblPr>
        <w:tblW w:w="9504" w:type="dxa"/>
        <w:jc w:val="left"/>
        <w:tblInd w:w="0" w:type="dxa"/>
        <w:tblLayout w:type="fixed"/>
        <w:tblCellMar>
          <w:top w:w="28" w:type="dxa"/>
          <w:left w:w="28" w:type="dxa"/>
          <w:bottom w:w="28" w:type="dxa"/>
          <w:right w:w="28" w:type="dxa"/>
        </w:tblCellMar>
      </w:tblPr>
      <w:tblGrid>
        <w:gridCol w:w="1933"/>
        <w:gridCol w:w="1698"/>
        <w:gridCol w:w="1709"/>
        <w:gridCol w:w="109"/>
        <w:gridCol w:w="109"/>
        <w:gridCol w:w="109"/>
        <w:gridCol w:w="221"/>
        <w:gridCol w:w="221"/>
        <w:gridCol w:w="221"/>
        <w:gridCol w:w="221"/>
        <w:gridCol w:w="620"/>
        <w:gridCol w:w="345"/>
        <w:gridCol w:w="346"/>
        <w:gridCol w:w="109"/>
        <w:gridCol w:w="109"/>
        <w:gridCol w:w="109"/>
        <w:gridCol w:w="579"/>
        <w:gridCol w:w="304"/>
        <w:gridCol w:w="432"/>
      </w:tblGrid>
      <w:tr>
        <w:trPr/>
        <w:tc>
          <w:tcPr>
            <w:tcW w:w="193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Pro Forma</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c>
          <w:tcPr>
            <w:tcW w:w="1642" w:type="dxa"/>
            <w:gridSpan w:val="6"/>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53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revenues (net interest income and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77,942</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11,757</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0.32</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Debt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amortized cost and fair values of debt securities, with gross unrealized gains and losses and allowance for credit losses, are as follows:</w:t>
      </w:r>
    </w:p>
    <w:tbl>
      <w:tblPr>
        <w:tblW w:w="10205" w:type="dxa"/>
        <w:jc w:val="left"/>
        <w:tblInd w:w="0" w:type="dxa"/>
        <w:tblLayout w:type="fixed"/>
        <w:tblCellMar>
          <w:top w:w="28" w:type="dxa"/>
          <w:left w:w="28" w:type="dxa"/>
          <w:bottom w:w="28" w:type="dxa"/>
          <w:right w:w="28" w:type="dxa"/>
        </w:tblCellMar>
      </w:tblPr>
      <w:tblGrid>
        <w:gridCol w:w="643"/>
        <w:gridCol w:w="565"/>
        <w:gridCol w:w="568"/>
        <w:gridCol w:w="109"/>
        <w:gridCol w:w="109"/>
        <w:gridCol w:w="109"/>
        <w:gridCol w:w="476"/>
        <w:gridCol w:w="478"/>
        <w:gridCol w:w="483"/>
        <w:gridCol w:w="109"/>
        <w:gridCol w:w="109"/>
        <w:gridCol w:w="109"/>
        <w:gridCol w:w="580"/>
        <w:gridCol w:w="363"/>
        <w:gridCol w:w="367"/>
        <w:gridCol w:w="109"/>
        <w:gridCol w:w="109"/>
        <w:gridCol w:w="109"/>
        <w:gridCol w:w="259"/>
        <w:gridCol w:w="925"/>
        <w:gridCol w:w="135"/>
        <w:gridCol w:w="109"/>
        <w:gridCol w:w="109"/>
        <w:gridCol w:w="109"/>
        <w:gridCol w:w="520"/>
        <w:gridCol w:w="561"/>
        <w:gridCol w:w="271"/>
        <w:gridCol w:w="109"/>
        <w:gridCol w:w="109"/>
        <w:gridCol w:w="109"/>
        <w:gridCol w:w="300"/>
        <w:gridCol w:w="437"/>
        <w:gridCol w:w="639"/>
      </w:tblGrid>
      <w:tr>
        <w:trPr/>
        <w:tc>
          <w:tcPr>
            <w:tcW w:w="64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Gross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Gross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75,548</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109,111</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194,193</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445,829</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135,978</w:t>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65,333</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1,025,992</w:t>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Unrecognized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Unrecognized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 for Credit Losses</w:t>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(33,534)</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tbl>
      <w:tblPr>
        <w:tblW w:w="10205" w:type="dxa"/>
        <w:jc w:val="left"/>
        <w:tblInd w:w="0" w:type="dxa"/>
        <w:tblLayout w:type="fixed"/>
        <w:tblCellMar>
          <w:top w:w="28" w:type="dxa"/>
          <w:left w:w="28" w:type="dxa"/>
          <w:bottom w:w="28" w:type="dxa"/>
          <w:right w:w="28" w:type="dxa"/>
        </w:tblCellMar>
      </w:tblPr>
      <w:tblGrid>
        <w:gridCol w:w="655"/>
        <w:gridCol w:w="575"/>
        <w:gridCol w:w="578"/>
        <w:gridCol w:w="109"/>
        <w:gridCol w:w="109"/>
        <w:gridCol w:w="109"/>
        <w:gridCol w:w="488"/>
        <w:gridCol w:w="396"/>
        <w:gridCol w:w="400"/>
        <w:gridCol w:w="109"/>
        <w:gridCol w:w="109"/>
        <w:gridCol w:w="109"/>
        <w:gridCol w:w="607"/>
        <w:gridCol w:w="380"/>
        <w:gridCol w:w="385"/>
        <w:gridCol w:w="109"/>
        <w:gridCol w:w="109"/>
        <w:gridCol w:w="109"/>
        <w:gridCol w:w="273"/>
        <w:gridCol w:w="973"/>
        <w:gridCol w:w="142"/>
        <w:gridCol w:w="109"/>
        <w:gridCol w:w="109"/>
        <w:gridCol w:w="109"/>
        <w:gridCol w:w="562"/>
        <w:gridCol w:w="563"/>
        <w:gridCol w:w="292"/>
        <w:gridCol w:w="109"/>
        <w:gridCol w:w="109"/>
        <w:gridCol w:w="109"/>
        <w:gridCol w:w="339"/>
        <w:gridCol w:w="392"/>
        <w:gridCol w:w="570"/>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Gross </w:t>
              <w:b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85,544</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41,422</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140,270</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360,795</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119,937</w:t>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65,133</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813,101</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Unrecognized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 Unrecognized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 for Credit Losses</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(32,348)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Bank had debt securities with a carrying value of $515.9 million and $412.8 million, respectively, which were pledged to secure public deposits, securities sold under agreements to repurchase, available borrowing capacity, and for other purposes required or permitted by law.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amortized cost and fair value of debt securities by contractual maturity, as of March 31, 2026, are shown below. Expected maturities may differ from contractual maturities because borrowers may have the right to call or prepay obligations with or without call or prepayment penalties.</w:t>
      </w:r>
    </w:p>
    <w:tbl>
      <w:tblPr>
        <w:tblW w:w="9195" w:type="dxa"/>
        <w:jc w:val="left"/>
        <w:tblInd w:w="0" w:type="dxa"/>
        <w:tblLayout w:type="fixed"/>
        <w:tblCellMar>
          <w:top w:w="28" w:type="dxa"/>
          <w:left w:w="28" w:type="dxa"/>
          <w:bottom w:w="28" w:type="dxa"/>
          <w:right w:w="28" w:type="dxa"/>
        </w:tblCellMar>
      </w:tblPr>
      <w:tblGrid>
        <w:gridCol w:w="1136"/>
        <w:gridCol w:w="998"/>
        <w:gridCol w:w="1001"/>
        <w:gridCol w:w="211"/>
        <w:gridCol w:w="1021"/>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Held-to-Maturity</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Amortized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Amortized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in 1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after 1 year through 5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after 5 years through 10 years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after 10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1,061,253 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1,025,992 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453,850 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420,524 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gross unrealized losses and fair value of debt securities available-for-sale that do not have an associated allowance for credit losses as of March 31, 2026 and December 31, 2025, aggregated by category and length of time that individual debt securities have been in a continuous unrealized loss position:</w:t>
      </w:r>
    </w:p>
    <w:tbl>
      <w:tblPr>
        <w:tblW w:w="10369" w:type="dxa"/>
        <w:jc w:val="left"/>
        <w:tblInd w:w="0" w:type="dxa"/>
        <w:tblLayout w:type="fixed"/>
        <w:tblCellMar>
          <w:top w:w="28" w:type="dxa"/>
          <w:left w:w="28" w:type="dxa"/>
          <w:bottom w:w="28" w:type="dxa"/>
          <w:right w:w="28" w:type="dxa"/>
        </w:tblCellMar>
      </w:tblPr>
      <w:tblGrid>
        <w:gridCol w:w="625"/>
        <w:gridCol w:w="549"/>
        <w:gridCol w:w="552"/>
        <w:gridCol w:w="109"/>
        <w:gridCol w:w="109"/>
        <w:gridCol w:w="109"/>
        <w:gridCol w:w="211"/>
        <w:gridCol w:w="64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Investments in a Continuous Unrealized Loss Position</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333,236 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(33,118)</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438,744 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(38,449)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771,980 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44" w:type="dxa"/>
        <w:jc w:val="left"/>
        <w:tblInd w:w="0" w:type="dxa"/>
        <w:tblLayout w:type="fixed"/>
        <w:tblCellMar>
          <w:top w:w="28" w:type="dxa"/>
          <w:left w:w="28" w:type="dxa"/>
          <w:bottom w:w="28" w:type="dxa"/>
          <w:right w:w="28" w:type="dxa"/>
        </w:tblCellMar>
      </w:tblPr>
      <w:tblGrid>
        <w:gridCol w:w="625"/>
        <w:gridCol w:w="549"/>
        <w:gridCol w:w="552"/>
        <w:gridCol w:w="109"/>
        <w:gridCol w:w="109"/>
        <w:gridCol w:w="109"/>
        <w:gridCol w:w="249"/>
        <w:gridCol w:w="568"/>
        <w:gridCol w:w="129"/>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Investments in a Continuous Unrealized Loss Position</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Unrealized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2026, there were 508 debt securities in an unrealized loss position for a period of 12 months or more, and 194 debt securities in an unrealized loss position for a period of less than 12 months.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U.S. Treasury, U.S. government agency, and agency mortgage-backed securities are considered to have no risk of credit loss as they are either explicitly or implicitly guaranteed by the U.S. government. The changes in fair value in these portfolios are considered to be primarily driven by changes in market interest rates and other non-credit risks, such as prepayment and liquidity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Municipal securities include general obligation bonds, which have a very low historical default rate due to issuers generally having taxing authority to service the debt, and represent approximately 74% of the total fair value of our municipal securities portfolio as of March 31, 2026. The remainder of the municipal securities are also of high credit quality with ratings of A1/A+ or better. The Company evaluates credit risk through monitoring credit ratings and reviews of available financial data. The changes in fair value in municipal securities were considered to be primarily driven by changes in market interest rates and other non-credit risks, such as call and liquidity risks. The estimated allowance for credit losses for the municipal debt securities held-to-maturity was deemed insignificant.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Corporate securities include investment grade corporate and bank subordinated debt securities. The Company evaluates credit risk through monitoring credit ratings, reviews of available issuer financial data, and sector trends. The changes in fair value in corporate securities were considered to be primarily driven by changes in market interest rates and other non-credit risks, such as call and liquidity risks.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the Company did not intend to sell the debt securities that are in an unrealized loss position, and it was more likely than not that the Company would recover the amortized cost prior to being required to sell the debt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Accrued interest on debt securities is excluded from the estimate of credit losses and totaled $6.7 million and $5.5 million as of March 31, 2026 and December 31, 2025,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Sales of debt securities were as follows during the three months ended March 31:</w:t>
      </w:r>
    </w:p>
    <w:tbl>
      <w:tblPr>
        <w:tblW w:w="6092" w:type="dxa"/>
        <w:jc w:val="left"/>
        <w:tblInd w:w="0" w:type="dxa"/>
        <w:tblLayout w:type="fixed"/>
        <w:tblCellMar>
          <w:top w:w="28" w:type="dxa"/>
          <w:left w:w="28" w:type="dxa"/>
          <w:bottom w:w="28" w:type="dxa"/>
          <w:right w:w="28" w:type="dxa"/>
        </w:tblCellMar>
      </w:tblPr>
      <w:tblGrid>
        <w:gridCol w:w="728"/>
        <w:gridCol w:w="639"/>
        <w:gridCol w:w="642"/>
        <w:gridCol w:w="109"/>
        <w:gridCol w:w="109"/>
        <w:gridCol w:w="199"/>
        <w:gridCol w:w="199"/>
        <w:gridCol w:w="386"/>
        <w:gridCol w:w="1566"/>
        <w:gridCol w:w="199"/>
        <w:gridCol w:w="109"/>
        <w:gridCol w:w="109"/>
        <w:gridCol w:w="109"/>
        <w:gridCol w:w="211"/>
        <w:gridCol w:w="40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16"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313,077 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Equity securities with readily determinable fair values are measured at fair value with changes in fair value recognized in unrealized gains (losses) on equity securities on the consolidated statements of income. The Company has elected to measure equity securities with no readily determinable fair value at cost minus impairment, if any, plus or minus changes resulting from observable price changes for identical or similar securities of the same issuer.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initial cost and carrying values of equity securities, with cumulative net unrealized gains and losses were as follows:</w:t>
      </w:r>
    </w:p>
    <w:tbl>
      <w:tblPr>
        <w:tblW w:w="6656" w:type="dxa"/>
        <w:jc w:val="left"/>
        <w:tblInd w:w="0" w:type="dxa"/>
        <w:tblLayout w:type="fixed"/>
        <w:tblCellMar>
          <w:top w:w="28" w:type="dxa"/>
          <w:left w:w="28" w:type="dxa"/>
          <w:bottom w:w="28" w:type="dxa"/>
          <w:right w:w="28" w:type="dxa"/>
        </w:tblCellMar>
      </w:tblPr>
      <w:tblGrid>
        <w:gridCol w:w="1321"/>
        <w:gridCol w:w="1160"/>
        <w:gridCol w:w="1164"/>
        <w:gridCol w:w="109"/>
        <w:gridCol w:w="109"/>
        <w:gridCol w:w="109"/>
        <w:gridCol w:w="252"/>
        <w:gridCol w:w="773"/>
        <w:gridCol w:w="131"/>
        <w:gridCol w:w="109"/>
        <w:gridCol w:w="109"/>
        <w:gridCol w:w="109"/>
        <w:gridCol w:w="250"/>
        <w:gridCol w:w="767"/>
        <w:gridCol w:w="18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Readily</w:t>
              <w:br/>
              <w:t>Determinable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 Readily</w:t>
              <w:br/>
              <w:t>Determinable</w:t>
              <w:br/>
              <w:t>Fair Value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Initial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Cumulative net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56" w:type="dxa"/>
        <w:jc w:val="left"/>
        <w:tblInd w:w="0" w:type="dxa"/>
        <w:tblLayout w:type="fixed"/>
        <w:tblCellMar>
          <w:top w:w="28" w:type="dxa"/>
          <w:left w:w="28" w:type="dxa"/>
          <w:bottom w:w="28" w:type="dxa"/>
          <w:right w:w="28" w:type="dxa"/>
        </w:tblCellMar>
      </w:tblPr>
      <w:tblGrid>
        <w:gridCol w:w="1321"/>
        <w:gridCol w:w="1160"/>
        <w:gridCol w:w="1164"/>
        <w:gridCol w:w="109"/>
        <w:gridCol w:w="109"/>
        <w:gridCol w:w="109"/>
        <w:gridCol w:w="252"/>
        <w:gridCol w:w="773"/>
        <w:gridCol w:w="131"/>
        <w:gridCol w:w="109"/>
        <w:gridCol w:w="109"/>
        <w:gridCol w:w="109"/>
        <w:gridCol w:w="250"/>
        <w:gridCol w:w="767"/>
        <w:gridCol w:w="18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Readily</w:t>
              <w:br/>
              <w:t>Determinable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 Readily</w:t>
              <w:br/>
              <w:t>Determinable</w:t>
              <w:br/>
              <w:t>Fair Value</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Initial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Cumulative net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cumulative net unrealized losses on equity securities with no readily determinable fair value reflect impairments of $0.2 million and downward adjustments based on observable price changes of an identical investment of $0.2 million. There have been no upward adjustments based on observable price changes to equity securities with no readily determinable fair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Unrealized gains (losses) on equity securities were as follows during the three months ended March 31, 2026 and 2025:</w:t>
      </w:r>
    </w:p>
    <w:tbl>
      <w:tblPr>
        <w:tblW w:w="8297" w:type="dxa"/>
        <w:jc w:val="left"/>
        <w:tblInd w:w="0" w:type="dxa"/>
        <w:tblLayout w:type="fixed"/>
        <w:tblCellMar>
          <w:top w:w="28" w:type="dxa"/>
          <w:left w:w="28" w:type="dxa"/>
          <w:bottom w:w="28" w:type="dxa"/>
          <w:right w:w="28" w:type="dxa"/>
        </w:tblCellMar>
      </w:tblPr>
      <w:tblGrid>
        <w:gridCol w:w="1576"/>
        <w:gridCol w:w="1384"/>
        <w:gridCol w:w="1390"/>
        <w:gridCol w:w="109"/>
        <w:gridCol w:w="109"/>
        <w:gridCol w:w="257"/>
        <w:gridCol w:w="257"/>
        <w:gridCol w:w="498"/>
        <w:gridCol w:w="1279"/>
        <w:gridCol w:w="257"/>
        <w:gridCol w:w="109"/>
        <w:gridCol w:w="109"/>
        <w:gridCol w:w="109"/>
        <w:gridCol w:w="211"/>
        <w:gridCol w:w="271"/>
        <w:gridCol w:w="109"/>
        <w:gridCol w:w="109"/>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181" w:type="dxa"/>
            <w:gridSpan w:val="8"/>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Readily determinable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 readily determinable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Unrealized gains (losses)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LOANS AND RELATED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Major categories of loans are summarized as follows:</w:t>
      </w:r>
    </w:p>
    <w:tbl>
      <w:tblPr>
        <w:tblW w:w="7322" w:type="dxa"/>
        <w:jc w:val="left"/>
        <w:tblInd w:w="0" w:type="dxa"/>
        <w:tblLayout w:type="fixed"/>
        <w:tblCellMar>
          <w:top w:w="28" w:type="dxa"/>
          <w:left w:w="28" w:type="dxa"/>
          <w:bottom w:w="28" w:type="dxa"/>
          <w:right w:w="28" w:type="dxa"/>
        </w:tblCellMar>
      </w:tblPr>
      <w:tblGrid>
        <w:gridCol w:w="1462"/>
        <w:gridCol w:w="1283"/>
        <w:gridCol w:w="1289"/>
        <w:gridCol w:w="211"/>
        <w:gridCol w:w="1021"/>
        <w:gridCol w:w="109"/>
        <w:gridCol w:w="109"/>
        <w:gridCol w:w="109"/>
        <w:gridCol w:w="109"/>
        <w:gridCol w:w="246"/>
        <w:gridCol w:w="1194"/>
        <w:gridCol w:w="180"/>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399,760 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320,434 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937,094 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280,254 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544,941 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445,463 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275,251 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253,012 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before allowance for credit losses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3,456,209 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Allowance for credit losses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Loans, net of allowance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4,626,477 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3,414,519 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Management estimates the allowance for credit losses using relevant available information from internal and external sources, relating to past events, current conditions, and reasonable and supportable forecasts. The discounted cash flow method is used to estimate expected credit losses for all loan categories, except for consumer loans where the weighted average remaining maturity method is utilized.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March 31, 2026, the economic forecast used by management anticipates that the unemployment rate will remain relatively flat and that gross domestic product ("GDP") will grow at a modest pace during the next four quarters. After the forecast period, the Company reverts to long-term averages over a four-quarter reversion period. Additionally, management has made qualitative adjustments to the loss estimates to reflect other factors that influence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detail activity in the allowance for credit losses:</w:t>
      </w:r>
    </w:p>
    <w:tbl>
      <w:tblPr>
        <w:tblW w:w="11346" w:type="dxa"/>
        <w:jc w:val="left"/>
        <w:tblInd w:w="0" w:type="dxa"/>
        <w:tblLayout w:type="fixed"/>
        <w:tblCellMar>
          <w:top w:w="28" w:type="dxa"/>
          <w:left w:w="28" w:type="dxa"/>
          <w:bottom w:w="28" w:type="dxa"/>
          <w:right w:w="28" w:type="dxa"/>
        </w:tblCellMar>
      </w:tblPr>
      <w:tblGrid>
        <w:gridCol w:w="352"/>
        <w:gridCol w:w="244"/>
        <w:gridCol w:w="245"/>
        <w:gridCol w:w="204"/>
        <w:gridCol w:w="559"/>
        <w:gridCol w:w="123"/>
        <w:gridCol w:w="109"/>
        <w:gridCol w:w="109"/>
        <w:gridCol w:w="109"/>
        <w:gridCol w:w="204"/>
        <w:gridCol w:w="559"/>
        <w:gridCol w:w="123"/>
        <w:gridCol w:w="109"/>
        <w:gridCol w:w="109"/>
        <w:gridCol w:w="109"/>
        <w:gridCol w:w="186"/>
        <w:gridCol w:w="587"/>
        <w:gridCol w:w="113"/>
        <w:gridCol w:w="109"/>
        <w:gridCol w:w="109"/>
        <w:gridCol w:w="109"/>
        <w:gridCol w:w="214"/>
        <w:gridCol w:w="587"/>
        <w:gridCol w:w="130"/>
        <w:gridCol w:w="109"/>
        <w:gridCol w:w="109"/>
        <w:gridCol w:w="109"/>
        <w:gridCol w:w="207"/>
        <w:gridCol w:w="568"/>
        <w:gridCol w:w="126"/>
        <w:gridCol w:w="109"/>
        <w:gridCol w:w="109"/>
        <w:gridCol w:w="109"/>
        <w:gridCol w:w="190"/>
        <w:gridCol w:w="521"/>
        <w:gridCol w:w="115"/>
        <w:gridCol w:w="109"/>
        <w:gridCol w:w="109"/>
        <w:gridCol w:w="109"/>
        <w:gridCol w:w="200"/>
        <w:gridCol w:w="549"/>
        <w:gridCol w:w="122"/>
        <w:gridCol w:w="109"/>
        <w:gridCol w:w="109"/>
        <w:gridCol w:w="109"/>
        <w:gridCol w:w="183"/>
        <w:gridCol w:w="502"/>
        <w:gridCol w:w="111"/>
        <w:gridCol w:w="109"/>
        <w:gridCol w:w="109"/>
        <w:gridCol w:w="109"/>
        <w:gridCol w:w="181"/>
        <w:gridCol w:w="5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March 31, 2026</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and </w:t>
              <w:b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Real Estate </w:t>
              <w:br/>
              <w:t>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w:t>
              <w:br/>
              <w:t>Real Estate</w:t>
              <w:br/>
              <w:t>Non-owner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Construction</w:t>
              <w:br/>
              <w:t>and Land</w:t>
              <w:b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One-to-four</w:t>
              <w:br/>
              <w:t>Family</w:t>
              <w:b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Agricultural</w:t>
              <w:br/>
              <w:t>and</w:t>
              <w:br/>
              <w:t>Farmland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Municipal,</w:t>
              <w:br/>
              <w:t>Consumer,</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Beginning balance</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Allowance established in acquisition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Charge-offs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Recoveries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Ending balance</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8,406 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7,225 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March 31, 2025</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and </w:t>
              <w:b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Real Estate </w:t>
              <w:br/>
              <w:t>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w:t>
              <w:br/>
              <w:t>Real Estate</w:t>
              <w:br/>
              <w:t>Non-owner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Construction</w:t>
              <w:br/>
              <w:t>and Land</w:t>
              <w:b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One-to-four</w:t>
              <w:br/>
              <w:t>Family</w:t>
              <w:b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Agricultural</w:t>
              <w:br/>
              <w:t>and</w:t>
              <w:br/>
              <w:t>Farmland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Municipal,</w:t>
              <w:br/>
              <w:t>Consumer,</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Beginning balance</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Charge-offs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Recoveries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Ending balance</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6,086 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11,193 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4,621 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4,118 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3,755 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7,722 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619" w:type="dxa"/>
            <w:gridSpan w:val="4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619" w:type="dxa"/>
            <w:gridSpan w:val="4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charge-offs, further sorted by origination year, were as follows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505"/>
        <w:gridCol w:w="343"/>
        <w:gridCol w:w="344"/>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301"/>
        <w:gridCol w:w="109"/>
        <w:gridCol w:w="109"/>
        <w:gridCol w:w="109"/>
        <w:gridCol w:w="109"/>
        <w:gridCol w:w="181"/>
        <w:gridCol w:w="406"/>
        <w:gridCol w:w="109"/>
        <w:gridCol w:w="109"/>
        <w:gridCol w:w="109"/>
        <w:gridCol w:w="109"/>
        <w:gridCol w:w="200"/>
        <w:gridCol w:w="415"/>
        <w:gridCol w:w="121"/>
        <w:gridCol w:w="109"/>
        <w:gridCol w:w="109"/>
        <w:gridCol w:w="109"/>
        <w:gridCol w:w="196"/>
        <w:gridCol w:w="441"/>
        <w:gridCol w:w="119"/>
        <w:gridCol w:w="109"/>
        <w:gridCol w:w="109"/>
        <w:gridCol w:w="109"/>
        <w:gridCol w:w="181"/>
        <w:gridCol w:w="496"/>
        <w:gridCol w:w="157"/>
      </w:tblGrid>
      <w:tr>
        <w:trPr/>
        <w:tc>
          <w:tcPr>
            <w:tcW w:w="5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Gross Charge-Offs for the Three Months Ended March 31, 2026</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 xml:space="preserve">Converted </w:t>
              <w:br/>
              <w:t>to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and industrial</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real estate - owner occupied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real estate - non-owner occupied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Construction and land development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Multi-family</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One-to-four family residential</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Agricultural and farmland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Municipal, consumer,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Gross Charge-Offs for the Three Months Ended March 31, 2025</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 xml:space="preserve">Converted </w:t>
              <w:br/>
              <w:t>to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and industrial</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real estate - owner occupied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Commercial real estate - non-owner occupied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Construction and land development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Multi-family</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One-to-four family residential</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Agricultural and farmland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Municipal, consumer,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loans and the related allowance for credit losses by category:</w:t>
      </w:r>
    </w:p>
    <w:tbl>
      <w:tblPr>
        <w:tblW w:w="12478" w:type="dxa"/>
        <w:jc w:val="left"/>
        <w:tblInd w:w="0" w:type="dxa"/>
        <w:tblLayout w:type="fixed"/>
        <w:tblCellMar>
          <w:top w:w="28" w:type="dxa"/>
          <w:left w:w="28" w:type="dxa"/>
          <w:bottom w:w="28" w:type="dxa"/>
          <w:right w:w="28" w:type="dxa"/>
        </w:tblCellMar>
      </w:tblPr>
      <w:tblGrid>
        <w:gridCol w:w="337"/>
        <w:gridCol w:w="244"/>
        <w:gridCol w:w="245"/>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March 31, 2026</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and </w:t>
              <w:b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Real Estate </w:t>
              <w:br/>
              <w:t xml:space="preserve">Owner </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w:t>
              <w:br/>
              <w:t>Real Estate</w:t>
              <w:br/>
              <w:t>Non-owner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Construction</w:t>
              <w:br/>
              <w:t>and Land</w:t>
              <w:b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One-to-four</w:t>
              <w:br/>
              <w:t>Family</w:t>
              <w:b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Agricultural</w:t>
              <w:br/>
              <w:t>and</w:t>
              <w:br/>
              <w:t>Farmland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Municipal,</w:t>
              <w:br/>
              <w:t>Consumer,</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Loan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Collectively 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4,655,189 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Individually 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528,301 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519,847 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1,099,784 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425,335 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638,653 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614,563 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596,294 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264,174 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4,686,951 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Collectively 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Individually 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9,409 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60,474 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and </w:t>
              <w:b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Commercial </w:t>
              <w:br/>
              <w:t xml:space="preserve">Real Estate </w:t>
              <w:br/>
              <w:t xml:space="preserve">Owner </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w:t>
              <w:br/>
              <w:t>Real Estate</w:t>
              <w:br/>
              <w:t>Non-owner</w:t>
              <w:br/>
              <w:t>Occupied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Construction</w:t>
              <w:br/>
              <w:t>and Land</w:t>
              <w:b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Multi-Family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One-to-four</w:t>
              <w:br/>
              <w:t>Family</w:t>
              <w:b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Agricultural</w:t>
              <w:br/>
              <w:t>and</w:t>
              <w:br/>
              <w:t>Farmland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Municipal,</w:t>
              <w:br/>
              <w:t>Consumer,</w:t>
              <w:br/>
              <w:t>and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Loan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Collectively 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3,430,888 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Individually 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320,434 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937,094 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445,463 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275,251 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3,456,209 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Collectively 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Individually 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collateral dependent loans, by the primary collateral type, which are individually evaluated to determine expected credit losses, and the related allowance for credit losses allocated to these loans:</w:t>
      </w:r>
    </w:p>
    <w:tbl>
      <w:tblPr>
        <w:tblW w:w="10205" w:type="dxa"/>
        <w:jc w:val="left"/>
        <w:tblInd w:w="0" w:type="dxa"/>
        <w:tblLayout w:type="fixed"/>
        <w:tblCellMar>
          <w:top w:w="28" w:type="dxa"/>
          <w:left w:w="28" w:type="dxa"/>
          <w:bottom w:w="28" w:type="dxa"/>
          <w:right w:w="28" w:type="dxa"/>
        </w:tblCellMar>
      </w:tblPr>
      <w:tblGrid>
        <w:gridCol w:w="1352"/>
        <w:gridCol w:w="1145"/>
        <w:gridCol w:w="1151"/>
        <w:gridCol w:w="109"/>
        <w:gridCol w:w="109"/>
        <w:gridCol w:w="109"/>
        <w:gridCol w:w="211"/>
        <w:gridCol w:w="751"/>
        <w:gridCol w:w="109"/>
        <w:gridCol w:w="109"/>
        <w:gridCol w:w="109"/>
        <w:gridCol w:w="109"/>
        <w:gridCol w:w="211"/>
        <w:gridCol w:w="481"/>
        <w:gridCol w:w="109"/>
        <w:gridCol w:w="109"/>
        <w:gridCol w:w="109"/>
        <w:gridCol w:w="109"/>
        <w:gridCol w:w="211"/>
        <w:gridCol w:w="646"/>
        <w:gridCol w:w="109"/>
        <w:gridCol w:w="109"/>
        <w:gridCol w:w="109"/>
        <w:gridCol w:w="109"/>
        <w:gridCol w:w="211"/>
        <w:gridCol w:w="751"/>
        <w:gridCol w:w="109"/>
        <w:gridCol w:w="109"/>
        <w:gridCol w:w="109"/>
        <w:gridCol w:w="109"/>
        <w:gridCol w:w="211"/>
        <w:gridCol w:w="646"/>
        <w:gridCol w:w="156"/>
      </w:tblGrid>
      <w:tr>
        <w:trPr/>
        <w:tc>
          <w:tcPr>
            <w:tcW w:w="135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w:t>
              <w:br/>
              <w:t>for Credit</w:t>
              <w:br/>
              <w:t>Losses</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Primary Collateral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Vehicles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Allowance</w:t>
              <w:br/>
              <w:t>for Credit</w:t>
              <w:br/>
              <w:t>Losses</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Primary Collateral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Vehicles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Accrued interest on loans is excluded from the estimate of credit losses and totaled $28.2 million and $18.2 million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Past Due and Nonaccrual Status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Past due status is based on the contractual terms of the loan. Typically, loans are placed on nonaccrual when they reach 90 days past due, or when, in management’s opinion, there is reasonable doubt regarding the collection of the amounts due through the normal means of the borrower. Interest accrued and unpaid at the time a loan is placed on nonaccrual status is reversed from interest income. Interest payments received on nonaccrual loans are recognized in accordance with our significant accounting policies. Once a loan is placed on nonaccrual status, the borrower must generally demonstrate at least six months of payment performance and we must believe that all remaining principal and interest is fully collectible, before the loan is eligible to return to accrual status.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loans by category based on current payment and accrual status:</w:t>
      </w:r>
    </w:p>
    <w:tbl>
      <w:tblPr>
        <w:tblW w:w="10205" w:type="dxa"/>
        <w:jc w:val="left"/>
        <w:tblInd w:w="0" w:type="dxa"/>
        <w:tblLayout w:type="fixed"/>
        <w:tblCellMar>
          <w:top w:w="28" w:type="dxa"/>
          <w:left w:w="28" w:type="dxa"/>
          <w:bottom w:w="28" w:type="dxa"/>
          <w:right w:w="28" w:type="dxa"/>
        </w:tblCellMar>
      </w:tblPr>
      <w:tblGrid>
        <w:gridCol w:w="1161"/>
        <w:gridCol w:w="905"/>
        <w:gridCol w:w="909"/>
        <w:gridCol w:w="109"/>
        <w:gridCol w:w="109"/>
        <w:gridCol w:w="109"/>
        <w:gridCol w:w="211"/>
        <w:gridCol w:w="1021"/>
        <w:gridCol w:w="109"/>
        <w:gridCol w:w="109"/>
        <w:gridCol w:w="109"/>
        <w:gridCol w:w="109"/>
        <w:gridCol w:w="222"/>
        <w:gridCol w:w="680"/>
        <w:gridCol w:w="114"/>
        <w:gridCol w:w="109"/>
        <w:gridCol w:w="109"/>
        <w:gridCol w:w="109"/>
        <w:gridCol w:w="225"/>
        <w:gridCol w:w="435"/>
        <w:gridCol w:w="116"/>
        <w:gridCol w:w="109"/>
        <w:gridCol w:w="109"/>
        <w:gridCol w:w="109"/>
        <w:gridCol w:w="211"/>
        <w:gridCol w:w="751"/>
        <w:gridCol w:w="109"/>
        <w:gridCol w:w="109"/>
        <w:gridCol w:w="109"/>
        <w:gridCol w:w="109"/>
        <w:gridCol w:w="211"/>
        <w:gridCol w:w="1021"/>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Accruing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30 - 89 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90+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Loans</w:t>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1,099,784 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425,335 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638,653 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596,294 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264,174 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4,686,951 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9"/>
        <w:gridCol w:w="927"/>
        <w:gridCol w:w="931"/>
        <w:gridCol w:w="109"/>
        <w:gridCol w:w="109"/>
        <w:gridCol w:w="109"/>
        <w:gridCol w:w="211"/>
        <w:gridCol w:w="1021"/>
        <w:gridCol w:w="109"/>
        <w:gridCol w:w="109"/>
        <w:gridCol w:w="109"/>
        <w:gridCol w:w="109"/>
        <w:gridCol w:w="222"/>
        <w:gridCol w:w="682"/>
        <w:gridCol w:w="114"/>
        <w:gridCol w:w="109"/>
        <w:gridCol w:w="109"/>
        <w:gridCol w:w="109"/>
        <w:gridCol w:w="226"/>
        <w:gridCol w:w="436"/>
        <w:gridCol w:w="116"/>
        <w:gridCol w:w="109"/>
        <w:gridCol w:w="109"/>
        <w:gridCol w:w="109"/>
        <w:gridCol w:w="219"/>
        <w:gridCol w:w="672"/>
        <w:gridCol w:w="115"/>
        <w:gridCol w:w="109"/>
        <w:gridCol w:w="109"/>
        <w:gridCol w:w="109"/>
        <w:gridCol w:w="211"/>
        <w:gridCol w:w="1021"/>
        <w:gridCol w:w="158"/>
      </w:tblGrid>
      <w:tr>
        <w:trPr/>
        <w:tc>
          <w:tcPr>
            <w:tcW w:w="117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Accruing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Current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30 - 89 Days</w:t>
              <w:br/>
              <w:t>Past Due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90+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Loans</w:t>
            </w:r>
          </w:p>
        </w:tc>
      </w:tr>
      <w:tr>
        <w:trPr/>
        <w:tc>
          <w:tcPr>
            <w:tcW w:w="3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399,760 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937,094 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544,941 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445,463 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3,441,646 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7,007 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7,556 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3,456,209 </w:t>
            </w:r>
          </w:p>
        </w:tc>
        <w:tc>
          <w:tcPr>
            <w:tcW w:w="1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nonaccrual loans with and without a related allowance for credit losses:</w:t>
      </w:r>
    </w:p>
    <w:tbl>
      <w:tblPr>
        <w:tblW w:w="8531" w:type="dxa"/>
        <w:jc w:val="left"/>
        <w:tblInd w:w="0" w:type="dxa"/>
        <w:tblLayout w:type="fixed"/>
        <w:tblCellMar>
          <w:top w:w="28" w:type="dxa"/>
          <w:left w:w="28" w:type="dxa"/>
          <w:bottom w:w="28" w:type="dxa"/>
          <w:right w:w="28" w:type="dxa"/>
        </w:tblCellMar>
      </w:tblPr>
      <w:tblGrid>
        <w:gridCol w:w="1462"/>
        <w:gridCol w:w="1283"/>
        <w:gridCol w:w="1289"/>
        <w:gridCol w:w="109"/>
        <w:gridCol w:w="109"/>
        <w:gridCol w:w="109"/>
        <w:gridCol w:w="261"/>
        <w:gridCol w:w="802"/>
        <w:gridCol w:w="137"/>
        <w:gridCol w:w="109"/>
        <w:gridCol w:w="109"/>
        <w:gridCol w:w="109"/>
        <w:gridCol w:w="236"/>
        <w:gridCol w:w="842"/>
        <w:gridCol w:w="122"/>
        <w:gridCol w:w="109"/>
        <w:gridCol w:w="109"/>
        <w:gridCol w:w="109"/>
        <w:gridCol w:w="211"/>
        <w:gridCol w:w="75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br/>
              <w:t>With</w:t>
              <w:br/>
              <w:t>Allowance for</w:t>
              <w:b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br/>
              <w:t>With No</w:t>
              <w:br/>
              <w:t>Allowance for</w:t>
              <w:b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Nonaccrual</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br/>
              <w:t>With</w:t>
              <w:br/>
              <w:t>Allowance for</w:t>
              <w:b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Nonaccrual</w:t>
              <w:br/>
              <w:t>With No</w:t>
              <w:br/>
              <w:t>Allowance for</w:t>
              <w:br/>
              <w:t>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Nonaccrual</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Credit Quality Indicators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assigns a risk rating to all loans and periodically performs detailed internal reviews of all loans that are part of relationships with over $750 thousand in total exposure to identify credit risks and to assess the overall collectability of the portfolio. During these internal reviews, management monitors and analyzes the financial condition of borrowers and guarantors, trends in the industries in which the borrowers operate and the fair values of collateral securing the loans. These credit quality indicators are used to assign a risk rating to each individual loan. Risk ratings are reviewed annually, at a minimum, and on an as needed basis depending on the specific circumstances of the loan. These risk ratings are also subject to review by the Company’s regulators, external loan review, and internal loan review. Risk ratings are grouped into the following major categories:</w:t>
      </w:r>
    </w:p>
    <w:p>
      <w:pPr>
        <w:pStyle w:val="TextBody"/>
        <w:bidi w:val="0"/>
        <w:spacing w:lineRule="auto" w:line="288" w:before="240" w:after="283"/>
        <w:jc w:val="both"/>
        <w:rPr/>
      </w:pPr>
      <w:r>
        <w:rPr>
          <w:rFonts w:ascii="Arial;sans-serif" w:hAnsi="Arial;sans-serif"/>
          <w:b/>
          <w:color w:val="000000"/>
          <w:sz w:val="20"/>
        </w:rPr>
        <w:t>Pass</w:t>
      </w:r>
      <w:r>
        <w:rPr>
          <w:color w:val="000000"/>
        </w:rPr>
        <w:t xml:space="preserve"> – </w:t>
      </w:r>
      <w:r>
        <w:rPr>
          <w:rFonts w:ascii="Arial;sans-serif" w:hAnsi="Arial;sans-serif"/>
          <w:b w:val="false"/>
          <w:color w:val="000000"/>
          <w:sz w:val="20"/>
        </w:rPr>
        <w:t>a pass loan is a credit with no existing or known potential weaknesses deserving of management’s close attention.</w:t>
      </w:r>
    </w:p>
    <w:p>
      <w:pPr>
        <w:pStyle w:val="TextBody"/>
        <w:bidi w:val="0"/>
        <w:spacing w:lineRule="auto" w:line="288" w:before="240" w:after="283"/>
        <w:jc w:val="both"/>
        <w:rPr/>
      </w:pPr>
      <w:r>
        <w:rPr>
          <w:rFonts w:ascii="Arial;sans-serif" w:hAnsi="Arial;sans-serif"/>
          <w:b/>
          <w:color w:val="000000"/>
          <w:sz w:val="20"/>
        </w:rPr>
        <w:t>Pass-Watch</w:t>
      </w:r>
      <w:r>
        <w:rPr>
          <w:color w:val="000000"/>
        </w:rPr>
        <w:t xml:space="preserve"> – </w:t>
      </w:r>
      <w:r>
        <w:rPr>
          <w:rFonts w:ascii="Arial;sans-serif" w:hAnsi="Arial;sans-serif"/>
          <w:b w:val="false"/>
          <w:color w:val="000000"/>
          <w:sz w:val="20"/>
        </w:rPr>
        <w:t>a pass-watch loan is still considered a "pass" credit and is not a classified or criticized asset, but is a reflection of a borrower who exhibits credit weaknesses or downward trends warranting close attention and increased monitoring. These potential weaknesses may result in deterioration of the repayment prospects for the loan. No loss of principal or interest is expected, and the borrower does not pose sufficient risk to warrant a special mention, substandard, or doubtful classification.</w:t>
      </w:r>
    </w:p>
    <w:p>
      <w:pPr>
        <w:pStyle w:val="TextBody"/>
        <w:bidi w:val="0"/>
        <w:spacing w:lineRule="auto" w:line="288" w:before="240" w:after="283"/>
        <w:jc w:val="both"/>
        <w:rPr/>
      </w:pPr>
      <w:r>
        <w:rPr>
          <w:rFonts w:ascii="Arial;sans-serif" w:hAnsi="Arial;sans-serif"/>
          <w:b/>
          <w:color w:val="000000"/>
          <w:sz w:val="20"/>
        </w:rPr>
        <w:t>Special Mention</w:t>
      </w:r>
      <w:r>
        <w:rPr>
          <w:color w:val="000000"/>
        </w:rPr>
        <w:t xml:space="preserve"> – </w:t>
      </w:r>
      <w:r>
        <w:rPr>
          <w:rFonts w:ascii="Arial;sans-serif" w:hAnsi="Arial;sans-serif"/>
          <w:b w:val="false"/>
          <w:color w:val="000000"/>
          <w:sz w:val="20"/>
        </w:rPr>
        <w:t>a special mention loan has potential weaknesses that deserve management's close attention. If left uncorrected, these potential weaknesses may result in deterioration of the repayment prospects for the assets or in the institution's credit position at some future date. Special mention assets are not adversely classified and do not expose an institution to sufficient risk to warrant adverse classification.</w:t>
      </w:r>
    </w:p>
    <w:p>
      <w:pPr>
        <w:pStyle w:val="TextBody"/>
        <w:bidi w:val="0"/>
        <w:spacing w:lineRule="auto" w:line="288" w:before="240" w:after="283"/>
        <w:jc w:val="both"/>
        <w:rPr/>
      </w:pPr>
      <w:r>
        <w:rPr>
          <w:rFonts w:ascii="Arial;sans-serif" w:hAnsi="Arial;sans-serif"/>
          <w:b/>
          <w:color w:val="000000"/>
          <w:sz w:val="20"/>
        </w:rPr>
        <w:t xml:space="preserve">Substandard </w:t>
      </w:r>
      <w:r>
        <w:rPr>
          <w:color w:val="000000"/>
        </w:rPr>
        <w:t xml:space="preserve">– </w:t>
      </w:r>
      <w:r>
        <w:rPr>
          <w:rFonts w:ascii="Arial;sans-serif" w:hAnsi="Arial;sans-serif"/>
          <w:b w:val="false"/>
          <w:color w:val="000000"/>
          <w:sz w:val="20"/>
        </w:rPr>
        <w:t>a substandard loan is inadequately protected by the current sound worth and paying capacity of the obligor or of the collateral pledged, if any. Assets so classified must have a well-defined weakness, or weaknesses, that jeopardize the liquidation of the debt. They are characterized as probable that the borrower will not pay principal and interest in accordance with the contractual terms.</w:t>
      </w:r>
    </w:p>
    <w:p>
      <w:pPr>
        <w:pStyle w:val="TextBody"/>
        <w:bidi w:val="0"/>
        <w:spacing w:lineRule="auto" w:line="288" w:before="240" w:after="283"/>
        <w:jc w:val="both"/>
        <w:rPr/>
      </w:pPr>
      <w:r>
        <w:rPr>
          <w:rFonts w:ascii="Arial;sans-serif" w:hAnsi="Arial;sans-serif"/>
          <w:b/>
          <w:color w:val="000000"/>
          <w:sz w:val="20"/>
        </w:rPr>
        <w:t>Doubtful</w:t>
      </w:r>
      <w:r>
        <w:rPr>
          <w:color w:val="000000"/>
        </w:rPr>
        <w:t xml:space="preserve"> – </w:t>
      </w:r>
      <w:r>
        <w:rPr>
          <w:rFonts w:ascii="Arial;sans-serif" w:hAnsi="Arial;sans-serif"/>
          <w:b w:val="false"/>
          <w:color w:val="000000"/>
          <w:sz w:val="20"/>
        </w:rPr>
        <w:t>a doubtful loan has all the weaknesses inherent in one classified as substandard with the added characteristic that the weaknesses make collection or liquidation in full, on the basis of currently existing facts, conditions, and values, highly questionable and improbable. There were no loans classified as doubtful as of March 31, 2026 and December 31, 2025.</w:t>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loans by category based on their assigned risk ratings determined by management:</w:t>
      </w:r>
    </w:p>
    <w:tbl>
      <w:tblPr>
        <w:tblW w:w="10205" w:type="dxa"/>
        <w:jc w:val="left"/>
        <w:tblInd w:w="0" w:type="dxa"/>
        <w:tblLayout w:type="fixed"/>
        <w:tblCellMar>
          <w:top w:w="28" w:type="dxa"/>
          <w:left w:w="28" w:type="dxa"/>
          <w:bottom w:w="28" w:type="dxa"/>
          <w:right w:w="28" w:type="dxa"/>
        </w:tblCellMar>
      </w:tblPr>
      <w:tblGrid>
        <w:gridCol w:w="984"/>
        <w:gridCol w:w="682"/>
        <w:gridCol w:w="685"/>
        <w:gridCol w:w="109"/>
        <w:gridCol w:w="109"/>
        <w:gridCol w:w="109"/>
        <w:gridCol w:w="211"/>
        <w:gridCol w:w="1021"/>
        <w:gridCol w:w="109"/>
        <w:gridCol w:w="109"/>
        <w:gridCol w:w="109"/>
        <w:gridCol w:w="109"/>
        <w:gridCol w:w="211"/>
        <w:gridCol w:w="856"/>
        <w:gridCol w:w="109"/>
        <w:gridCol w:w="109"/>
        <w:gridCol w:w="109"/>
        <w:gridCol w:w="109"/>
        <w:gridCol w:w="234"/>
        <w:gridCol w:w="833"/>
        <w:gridCol w:w="121"/>
        <w:gridCol w:w="109"/>
        <w:gridCol w:w="109"/>
        <w:gridCol w:w="109"/>
        <w:gridCol w:w="221"/>
        <w:gridCol w:w="789"/>
        <w:gridCol w:w="116"/>
        <w:gridCol w:w="109"/>
        <w:gridCol w:w="109"/>
        <w:gridCol w:w="109"/>
        <w:gridCol w:w="211"/>
        <w:gridCol w:w="1021"/>
        <w:gridCol w:w="156"/>
      </w:tblGrid>
      <w:tr>
        <w:trPr/>
        <w:tc>
          <w:tcPr>
            <w:tcW w:w="9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Pass-Watch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4,686,951 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4"/>
        <w:gridCol w:w="682"/>
        <w:gridCol w:w="685"/>
        <w:gridCol w:w="109"/>
        <w:gridCol w:w="109"/>
        <w:gridCol w:w="109"/>
        <w:gridCol w:w="211"/>
        <w:gridCol w:w="1021"/>
        <w:gridCol w:w="109"/>
        <w:gridCol w:w="109"/>
        <w:gridCol w:w="109"/>
        <w:gridCol w:w="109"/>
        <w:gridCol w:w="211"/>
        <w:gridCol w:w="856"/>
        <w:gridCol w:w="109"/>
        <w:gridCol w:w="109"/>
        <w:gridCol w:w="109"/>
        <w:gridCol w:w="109"/>
        <w:gridCol w:w="234"/>
        <w:gridCol w:w="833"/>
        <w:gridCol w:w="121"/>
        <w:gridCol w:w="109"/>
        <w:gridCol w:w="109"/>
        <w:gridCol w:w="109"/>
        <w:gridCol w:w="221"/>
        <w:gridCol w:w="789"/>
        <w:gridCol w:w="116"/>
        <w:gridCol w:w="109"/>
        <w:gridCol w:w="109"/>
        <w:gridCol w:w="109"/>
        <w:gridCol w:w="211"/>
        <w:gridCol w:w="1021"/>
        <w:gridCol w:w="156"/>
      </w:tblGrid>
      <w:tr>
        <w:trPr/>
        <w:tc>
          <w:tcPr>
            <w:tcW w:w="9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Pass-Watch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3,241,912 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70,743 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3,456,209 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 ratings of loans, further sorted by origination year, are as follows as of March 31, 2026:</w:t>
      </w:r>
    </w:p>
    <w:tbl>
      <w:tblPr>
        <w:tblW w:w="12283" w:type="dxa"/>
        <w:jc w:val="left"/>
        <w:tblInd w:w="0" w:type="dxa"/>
        <w:tblLayout w:type="fixed"/>
        <w:tblCellMar>
          <w:top w:w="28" w:type="dxa"/>
          <w:left w:w="28" w:type="dxa"/>
          <w:bottom w:w="28" w:type="dxa"/>
          <w:right w:w="28" w:type="dxa"/>
        </w:tblCellMar>
      </w:tblPr>
      <w:tblGrid>
        <w:gridCol w:w="412"/>
        <w:gridCol w:w="244"/>
        <w:gridCol w:w="245"/>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76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Converted</w:t>
              <w:br/>
              <w:t>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528,301 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real estate - owner occupied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480,277 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519,847 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real estate - non-owner occupied</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1,026,046 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1,099,784 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Construction and land development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419,964 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425,335 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Multi-family</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589,997 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209,757 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638,653 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One-to-four family residential</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586,920 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614,563 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3"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Agricultural and farmland</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596,294 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tbl>
      <w:tblPr>
        <w:tblW w:w="12478" w:type="dxa"/>
        <w:jc w:val="left"/>
        <w:tblInd w:w="0" w:type="dxa"/>
        <w:tblLayout w:type="fixed"/>
        <w:tblCellMar>
          <w:top w:w="28" w:type="dxa"/>
          <w:left w:w="28" w:type="dxa"/>
          <w:bottom w:w="28" w:type="dxa"/>
          <w:right w:w="28" w:type="dxa"/>
        </w:tblCellMar>
      </w:tblPr>
      <w:tblGrid>
        <w:gridCol w:w="412"/>
        <w:gridCol w:w="244"/>
        <w:gridCol w:w="245"/>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76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Converted</w:t>
              <w:br/>
              <w:t>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47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Municipal, consumer, and other</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264,174 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8"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by risk rating</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4,317,189 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341,980 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1,143,625 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507,284 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996,519 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4,686,951 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Risk ratings of loans, further sorted by origination year, are as follows as of December 31, 2025:</w:t>
      </w:r>
    </w:p>
    <w:tbl>
      <w:tblPr>
        <w:tblW w:w="12088" w:type="dxa"/>
        <w:jc w:val="left"/>
        <w:tblInd w:w="0" w:type="dxa"/>
        <w:tblLayout w:type="fixed"/>
        <w:tblCellMar>
          <w:top w:w="28" w:type="dxa"/>
          <w:left w:w="28" w:type="dxa"/>
          <w:bottom w:w="28" w:type="dxa"/>
          <w:right w:w="28" w:type="dxa"/>
        </w:tblCellMar>
      </w:tblPr>
      <w:tblGrid>
        <w:gridCol w:w="412"/>
        <w:gridCol w:w="244"/>
        <w:gridCol w:w="245"/>
        <w:gridCol w:w="109"/>
        <w:gridCol w:w="109"/>
        <w:gridCol w:w="109"/>
        <w:gridCol w:w="181"/>
        <w:gridCol w:w="646"/>
        <w:gridCol w:w="109"/>
        <w:gridCol w:w="109"/>
        <w:gridCol w:w="109"/>
        <w:gridCol w:w="109"/>
        <w:gridCol w:w="181"/>
        <w:gridCol w:w="571"/>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Converted</w:t>
              <w:br/>
              <w:t>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08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and industrial</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real estate - owner occupied</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320,434 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Commercial real estate - non-owner occupied</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889,380 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937,094 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Construction and land development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Multi-family</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503,133 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One-to-four family residential</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445,463 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Agricultural and farmland</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275,251 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tbl>
      <w:tblPr>
        <w:tblW w:w="12358" w:type="dxa"/>
        <w:jc w:val="left"/>
        <w:tblInd w:w="0" w:type="dxa"/>
        <w:tblLayout w:type="fixed"/>
        <w:tblCellMar>
          <w:top w:w="28" w:type="dxa"/>
          <w:left w:w="28" w:type="dxa"/>
          <w:bottom w:w="28" w:type="dxa"/>
          <w:right w:w="28" w:type="dxa"/>
        </w:tblCellMar>
      </w:tblPr>
      <w:tblGrid>
        <w:gridCol w:w="412"/>
        <w:gridCol w:w="244"/>
        <w:gridCol w:w="245"/>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76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Revolving</w:t>
              <w:br/>
              <w:t>Loans</w:t>
              <w:br/>
              <w:t>Converted</w:t>
              <w:br/>
              <w:t>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358" w:type="dxa"/>
            <w:gridSpan w:val="5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Municipal, consumer, and other</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8" w:type="dxa"/>
            <w:gridSpan w:val="57"/>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by risk rating</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3,241,912 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Pass-Watch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876,839 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354,657 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450,014 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391,221 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460,018 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3,456,209 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Modifications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loan modifications to borrowers experiencing financial difficulty during the three months ended March 31, 2026 and 2025. As of March 31, 2026 and December 31, 2025, there were no loans modified to borrowers experiencing financial difficulty within the last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Pledged Loans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Company pledged loans totaling $2.81 billion and $1.96 billion, respectively, to the Federal Home Loan Bank of Chicago (“FHLB”) to secure available FHLB advance borrowing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 – LOAN SERVICING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Mortgage loans serviced for others, which are not included in the accompanying consolidated balance sheets, amounted to $1.66 billion and $1.42 billion as of March 31, 2026 and December 31, 2025, respectively. Activity in mortgage servicing rights was as follows:</w:t>
      </w:r>
    </w:p>
    <w:tbl>
      <w:tblPr>
        <w:tblW w:w="10205" w:type="dxa"/>
        <w:jc w:val="left"/>
        <w:tblInd w:w="0" w:type="dxa"/>
        <w:tblLayout w:type="fixed"/>
        <w:tblCellMar>
          <w:top w:w="28" w:type="dxa"/>
          <w:left w:w="28" w:type="dxa"/>
          <w:bottom w:w="28" w:type="dxa"/>
          <w:right w:w="28" w:type="dxa"/>
        </w:tblCellMar>
      </w:tblPr>
      <w:tblGrid>
        <w:gridCol w:w="2237"/>
        <w:gridCol w:w="1898"/>
        <w:gridCol w:w="1905"/>
        <w:gridCol w:w="109"/>
        <w:gridCol w:w="109"/>
        <w:gridCol w:w="192"/>
        <w:gridCol w:w="192"/>
        <w:gridCol w:w="373"/>
        <w:gridCol w:w="1331"/>
        <w:gridCol w:w="192"/>
        <w:gridCol w:w="109"/>
        <w:gridCol w:w="109"/>
        <w:gridCol w:w="109"/>
        <w:gridCol w:w="211"/>
        <w:gridCol w:w="751"/>
        <w:gridCol w:w="109"/>
        <w:gridCol w:w="109"/>
        <w:gridCol w:w="160"/>
      </w:tblGrid>
      <w:tr>
        <w:trPr/>
        <w:tc>
          <w:tcPr>
            <w:tcW w:w="223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67" w:type="dxa"/>
            <w:gridSpan w:val="8"/>
            <w:tcBorders/>
          </w:tcPr>
          <w:p>
            <w:pPr>
              <w:pStyle w:val="TableContents"/>
              <w:bidi w:val="0"/>
              <w:spacing w:before="0" w:after="283"/>
              <w:jc w:val="left"/>
              <w:rPr>
                <w:sz w:val="4"/>
                <w:szCs w:val="4"/>
              </w:rPr>
            </w:pPr>
            <w:r>
              <w:rPr>
                <w:sz w:val="4"/>
                <w:szCs w:val="4"/>
              </w:rPr>
            </w:r>
          </w:p>
        </w:tc>
      </w:tr>
      <w:tr>
        <w:trPr/>
        <w:tc>
          <w:tcPr>
            <w:tcW w:w="6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servicing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 adjustments attributable to payments and principal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 adjustments attributable to changes in valuation inputs and assumptions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20,090 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 – FORECLOSED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Foreclosed assets activity was as follows:</w:t>
      </w:r>
    </w:p>
    <w:tbl>
      <w:tblPr>
        <w:tblW w:w="6076" w:type="dxa"/>
        <w:jc w:val="left"/>
        <w:tblInd w:w="0" w:type="dxa"/>
        <w:tblLayout w:type="fixed"/>
        <w:tblCellMar>
          <w:top w:w="28" w:type="dxa"/>
          <w:left w:w="28" w:type="dxa"/>
          <w:bottom w:w="28" w:type="dxa"/>
          <w:right w:w="28" w:type="dxa"/>
        </w:tblCellMar>
      </w:tblPr>
      <w:tblGrid>
        <w:gridCol w:w="696"/>
        <w:gridCol w:w="611"/>
        <w:gridCol w:w="613"/>
        <w:gridCol w:w="109"/>
        <w:gridCol w:w="109"/>
        <w:gridCol w:w="234"/>
        <w:gridCol w:w="234"/>
        <w:gridCol w:w="454"/>
        <w:gridCol w:w="1391"/>
        <w:gridCol w:w="234"/>
        <w:gridCol w:w="109"/>
        <w:gridCol w:w="109"/>
        <w:gridCol w:w="109"/>
        <w:gridCol w:w="211"/>
        <w:gridCol w:w="481"/>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91" w:type="dxa"/>
            <w:gridSpan w:val="8"/>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Transfers from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gain on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 write-downs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Gains (losses) on foreclosed assets included the following:</w:t>
      </w:r>
    </w:p>
    <w:tbl>
      <w:tblPr>
        <w:tblW w:w="6753" w:type="dxa"/>
        <w:jc w:val="left"/>
        <w:tblInd w:w="0" w:type="dxa"/>
        <w:tblLayout w:type="fixed"/>
        <w:tblCellMar>
          <w:top w:w="28" w:type="dxa"/>
          <w:left w:w="28" w:type="dxa"/>
          <w:bottom w:w="28" w:type="dxa"/>
          <w:right w:w="28" w:type="dxa"/>
        </w:tblCellMar>
      </w:tblPr>
      <w:tblGrid>
        <w:gridCol w:w="957"/>
        <w:gridCol w:w="840"/>
        <w:gridCol w:w="843"/>
        <w:gridCol w:w="109"/>
        <w:gridCol w:w="109"/>
        <w:gridCol w:w="294"/>
        <w:gridCol w:w="294"/>
        <w:gridCol w:w="570"/>
        <w:gridCol w:w="1097"/>
        <w:gridCol w:w="294"/>
        <w:gridCol w:w="109"/>
        <w:gridCol w:w="109"/>
        <w:gridCol w:w="109"/>
        <w:gridCol w:w="211"/>
        <w:gridCol w:w="436"/>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46" w:type="dxa"/>
            <w:gridSpan w:val="8"/>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 write-downs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gain on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Gains on foreclosed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carrying value of foreclosed one-to-four family residential real estate properties held was $0.8 million and $0.9 million, respectively. As of March 31, 2026, there were 7 one-to-four family residential real estate loans in the process of foreclosure totaling $0.3 million. As of December 31, 2025, there were three one-to-four family residential real estate loans in the process of foreclosure totaling $0.2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 – DEPOSITS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deposits are summarized below:</w:t>
      </w:r>
    </w:p>
    <w:tbl>
      <w:tblPr>
        <w:tblW w:w="6243" w:type="dxa"/>
        <w:jc w:val="left"/>
        <w:tblInd w:w="0" w:type="dxa"/>
        <w:tblLayout w:type="fixed"/>
        <w:tblCellMar>
          <w:top w:w="28" w:type="dxa"/>
          <w:left w:w="28" w:type="dxa"/>
          <w:bottom w:w="28" w:type="dxa"/>
          <w:right w:w="28" w:type="dxa"/>
        </w:tblCellMar>
      </w:tblPr>
      <w:tblGrid>
        <w:gridCol w:w="1070"/>
        <w:gridCol w:w="940"/>
        <w:gridCol w:w="945"/>
        <w:gridCol w:w="211"/>
        <w:gridCol w:w="1021"/>
        <w:gridCol w:w="109"/>
        <w:gridCol w:w="109"/>
        <w:gridCol w:w="109"/>
        <w:gridCol w:w="109"/>
        <w:gridCol w:w="246"/>
        <w:gridCol w:w="1194"/>
        <w:gridCol w:w="180"/>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1,049,043 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Interest-bearing deposits: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Interest-bearing demand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1,144,416 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839,097 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Savings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564,220 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762,487 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interest-bearing deposits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3,310,220 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5,803,448 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4,359,263 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Reciprocal deposits included in interest-bearing demand deposits, money market deposits, and time deposits totaled $233.7 million and $289.9 million as of March 31, 2026 and December 31, 2025, respectively. There were no brokered deposits as of March 31, 2026 and December 31, 2025.</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aggregate amounts of time deposits in denominations of $250 thousand or more amounted to $378.4 million and $201.4 million as of March 31, 2026 and December 31, 2025, respectively. The aggregate amounts of time deposits in denominations of $100 thousand or more amounted to $790.3 million and $445.7 million as of March 31, 2026 and December 31, 2025,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components of interest expense on deposits were as follows:</w:t>
      </w:r>
    </w:p>
    <w:tbl>
      <w:tblPr>
        <w:tblW w:w="7742" w:type="dxa"/>
        <w:jc w:val="left"/>
        <w:tblInd w:w="0" w:type="dxa"/>
        <w:tblLayout w:type="fixed"/>
        <w:tblCellMar>
          <w:top w:w="28" w:type="dxa"/>
          <w:left w:w="28" w:type="dxa"/>
          <w:bottom w:w="28" w:type="dxa"/>
          <w:right w:w="28" w:type="dxa"/>
        </w:tblCellMar>
      </w:tblPr>
      <w:tblGrid>
        <w:gridCol w:w="1202"/>
        <w:gridCol w:w="1054"/>
        <w:gridCol w:w="1059"/>
        <w:gridCol w:w="109"/>
        <w:gridCol w:w="109"/>
        <w:gridCol w:w="215"/>
        <w:gridCol w:w="215"/>
        <w:gridCol w:w="417"/>
        <w:gridCol w:w="1486"/>
        <w:gridCol w:w="215"/>
        <w:gridCol w:w="109"/>
        <w:gridCol w:w="109"/>
        <w:gridCol w:w="109"/>
        <w:gridCol w:w="211"/>
        <w:gridCol w:w="751"/>
        <w:gridCol w:w="109"/>
        <w:gridCol w:w="109"/>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Interest-bearing demand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Savings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interest expense on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14,109 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8 - SUBORDINATED NOTES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March 11, 2026, the Company issued $85.0 million of fixed-to-floating rate subordinated notes with a maturity date of March 15, 2036. The subordinated notes, which are unsecured obligations of the Company, bear a fixed interest rate of 5.75% from and including March 11, 2026 to, but excluding March 15, 2031, or earlier redemption date. From and including March 15, 2031 to, but excluding the maturity date or earlier redemption date, the subordinated notes bear interest at a floating rate equal to the then-current three-month SOFR plus 2.33%. Interest is payable semi-annually during the fixed rate period and quarterly during the subsequent floating rate period. The subordinated notes have an optional redemption in whole or in part on any interest payment date on or after March 15, 2031. The subordinated notes may be redeemed at a price equal to 100% of the principal amount redeemed, plus any accrued but unpaid interest to, but excluding, the redemption date. As of March 31, 2026, 100% of the subordinated notes qualified as Tier 2 capital.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face value and carrying value of the subordinated notes are summarized below:</w:t>
      </w:r>
    </w:p>
    <w:tbl>
      <w:tblPr>
        <w:tblW w:w="6822" w:type="dxa"/>
        <w:jc w:val="left"/>
        <w:tblInd w:w="0" w:type="dxa"/>
        <w:tblLayout w:type="fixed"/>
        <w:tblCellMar>
          <w:top w:w="28" w:type="dxa"/>
          <w:left w:w="28" w:type="dxa"/>
          <w:bottom w:w="28" w:type="dxa"/>
          <w:right w:w="28" w:type="dxa"/>
        </w:tblCellMar>
      </w:tblPr>
      <w:tblGrid>
        <w:gridCol w:w="1311"/>
        <w:gridCol w:w="1150"/>
        <w:gridCol w:w="1154"/>
        <w:gridCol w:w="248"/>
        <w:gridCol w:w="884"/>
        <w:gridCol w:w="128"/>
        <w:gridCol w:w="109"/>
        <w:gridCol w:w="109"/>
        <w:gridCol w:w="109"/>
        <w:gridCol w:w="442"/>
        <w:gridCol w:w="853"/>
        <w:gridCol w:w="325"/>
      </w:tblGrid>
      <w:tr>
        <w:trPr/>
        <w:tc>
          <w:tcPr>
            <w:tcW w:w="13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Subordinated notes, at face value</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Unamortized issuance costs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Subordinated notes, at carrying value</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84,003 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DERIVATIVE FINANCIAL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Derivative financial instruments are negotiated contracts entered into by two issuing counterparties containing specific agreement terms, including the underlying instrument, amount, exercise price, and maturities. The derivatives accounting guidance requires that the Company recognize all derivative financial instruments as either assets or liabilities at fair value in the consolidated balance sheets. The Company may utilize interest rate swap agreements as part of its asset liability management strategy to help manage its interest rate risk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Interest Rate Swaps Designated as Cash Flow Hedges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derivative instruments that are designated and qualify as a cash flow hedge, the gain or loss on interest rate swaps designated as cash flow hedging instruments, net of tax, is reported as a component of accumulated other comprehensive income (loss) and reclassified into earnings in the same period or periods during which the hedged transactions affect earnings.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there were no interest rate swap agreements designated as a cash flow hedge.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effect of interest rate swap agreements designated as cash flow hedges on the consolidated statements of income was as follows:</w:t>
      </w:r>
    </w:p>
    <w:tbl>
      <w:tblPr>
        <w:tblW w:w="8049" w:type="dxa"/>
        <w:jc w:val="left"/>
        <w:tblInd w:w="0" w:type="dxa"/>
        <w:tblLayout w:type="fixed"/>
        <w:tblCellMar>
          <w:top w:w="28" w:type="dxa"/>
          <w:left w:w="28" w:type="dxa"/>
          <w:bottom w:w="28" w:type="dxa"/>
          <w:right w:w="28" w:type="dxa"/>
        </w:tblCellMar>
      </w:tblPr>
      <w:tblGrid>
        <w:gridCol w:w="1570"/>
        <w:gridCol w:w="1379"/>
        <w:gridCol w:w="1385"/>
        <w:gridCol w:w="109"/>
        <w:gridCol w:w="423"/>
        <w:gridCol w:w="218"/>
        <w:gridCol w:w="218"/>
        <w:gridCol w:w="218"/>
        <w:gridCol w:w="218"/>
        <w:gridCol w:w="218"/>
        <w:gridCol w:w="423"/>
        <w:gridCol w:w="753"/>
        <w:gridCol w:w="218"/>
        <w:gridCol w:w="109"/>
        <w:gridCol w:w="109"/>
        <w:gridCol w:w="109"/>
        <w:gridCol w:w="109"/>
        <w:gridCol w:w="109"/>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Location of gross gain (loss) reclassified</w:t>
              <w:br/>
              <w:t>from accumulated other</w:t>
              <w:br/>
              <w:t>comprehensive income (loss) to income</w:t>
            </w:r>
          </w:p>
        </w:tc>
        <w:tc>
          <w:tcPr>
            <w:tcW w:w="109" w:type="dxa"/>
            <w:tcBorders/>
            <w:vAlign w:val="center"/>
          </w:tcPr>
          <w:p>
            <w:pPr>
              <w:pStyle w:val="TableContents"/>
              <w:bidi w:val="0"/>
              <w:spacing w:before="0" w:after="283"/>
              <w:jc w:val="left"/>
              <w:rPr>
                <w:sz w:val="4"/>
                <w:szCs w:val="4"/>
              </w:rPr>
            </w:pPr>
            <w:r>
              <w:rPr>
                <w:sz w:val="4"/>
                <w:szCs w:val="4"/>
              </w:rPr>
            </w:r>
          </w:p>
        </w:tc>
        <w:tc>
          <w:tcPr>
            <w:tcW w:w="29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of gross gain (loss)</w:t>
              <w:br/>
              <w:t>reclassified from accumulated</w:t>
              <w:b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Designated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Junior subordinated debentures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April 2026, the Company entered into an $85.0 million receive 3.51% fixed, pay 1-month term SOFR interest rate swap designated as a cash flow hedge. The interest rate swap matures in 2031.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Interest Rate Swaps Not Designated as Hedging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may offer interest rate swap agreements to its commercial borrowers in connection with their risk management needs. The Company manages the interest rate risk associated with these contracts by entering into an equal and offsetting derivative with a third-party financial institution. While these interest rate swap agreements generally work together as an economic interest rate hedge,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interest rate swap agreements not designated as hedging instruments were as follows:</w:t>
      </w:r>
    </w:p>
    <w:tbl>
      <w:tblPr>
        <w:tblW w:w="10205" w:type="dxa"/>
        <w:jc w:val="left"/>
        <w:tblInd w:w="0" w:type="dxa"/>
        <w:tblLayout w:type="fixed"/>
        <w:tblCellMar>
          <w:top w:w="28" w:type="dxa"/>
          <w:left w:w="28" w:type="dxa"/>
          <w:bottom w:w="28" w:type="dxa"/>
          <w:right w:w="28" w:type="dxa"/>
        </w:tblCellMar>
      </w:tblPr>
      <w:tblGrid>
        <w:gridCol w:w="1828"/>
        <w:gridCol w:w="1580"/>
        <w:gridCol w:w="1586"/>
        <w:gridCol w:w="211"/>
        <w:gridCol w:w="751"/>
        <w:gridCol w:w="109"/>
        <w:gridCol w:w="109"/>
        <w:gridCol w:w="109"/>
        <w:gridCol w:w="109"/>
        <w:gridCol w:w="211"/>
        <w:gridCol w:w="700"/>
        <w:gridCol w:w="109"/>
        <w:gridCol w:w="109"/>
        <w:gridCol w:w="109"/>
        <w:gridCol w:w="109"/>
        <w:gridCol w:w="211"/>
        <w:gridCol w:w="751"/>
        <w:gridCol w:w="109"/>
        <w:gridCol w:w="109"/>
        <w:gridCol w:w="109"/>
        <w:gridCol w:w="109"/>
        <w:gridCol w:w="211"/>
        <w:gridCol w:w="700"/>
        <w:gridCol w:w="157"/>
      </w:tblGrid>
      <w:tr>
        <w:trPr/>
        <w:tc>
          <w:tcPr>
            <w:tcW w:w="182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 recorded in other 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swaps with a commercial borrower counterparty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swaps with a financial institution counterparty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fair value recorded in other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 recorded in other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swaps with a commercial borrower counterparty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swaps with a financial institution counterparty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fair value recorded in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the interest rate swap agreements not designated as hedging instruments had contractual maturities between 2027 and 2040.</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effect of interest rate contracts not designated as hedging instruments recognized in other noninterest income on the consolidated statements of income was as follows:</w:t>
      </w:r>
    </w:p>
    <w:tbl>
      <w:tblPr>
        <w:tblW w:w="6633" w:type="dxa"/>
        <w:jc w:val="left"/>
        <w:tblInd w:w="0" w:type="dxa"/>
        <w:tblLayout w:type="fixed"/>
        <w:tblCellMar>
          <w:top w:w="28" w:type="dxa"/>
          <w:left w:w="28" w:type="dxa"/>
          <w:bottom w:w="28" w:type="dxa"/>
          <w:right w:w="28" w:type="dxa"/>
        </w:tblCellMar>
      </w:tblPr>
      <w:tblGrid>
        <w:gridCol w:w="1392"/>
        <w:gridCol w:w="1222"/>
        <w:gridCol w:w="1226"/>
        <w:gridCol w:w="211"/>
        <w:gridCol w:w="481"/>
        <w:gridCol w:w="109"/>
        <w:gridCol w:w="109"/>
        <w:gridCol w:w="109"/>
        <w:gridCol w:w="109"/>
        <w:gridCol w:w="211"/>
        <w:gridCol w:w="646"/>
        <w:gridCol w:w="109"/>
        <w:gridCol w:w="109"/>
        <w:gridCol w:w="109"/>
        <w:gridCol w:w="109"/>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Not designated as hedging instruments: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gains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gains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 Participation Agreements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have entered into a risk participation agreement to share credit exposure with a counterparty in an interest rate swap agreement associated with a loan participation. Under the risk participation agreement, the Company sold a portion of its credit exposure, receiving an up-front fee, and will be required to make a payment to the counterparty if the loan customer defaults on its obligations. The risk participation agreement matures in 2035 and is summarized as follows:</w:t>
      </w:r>
    </w:p>
    <w:tbl>
      <w:tblPr>
        <w:tblW w:w="7117" w:type="dxa"/>
        <w:jc w:val="left"/>
        <w:tblInd w:w="0" w:type="dxa"/>
        <w:tblLayout w:type="fixed"/>
        <w:tblCellMar>
          <w:top w:w="28" w:type="dxa"/>
          <w:left w:w="28" w:type="dxa"/>
          <w:bottom w:w="28" w:type="dxa"/>
          <w:right w:w="28" w:type="dxa"/>
        </w:tblCellMar>
      </w:tblPr>
      <w:tblGrid>
        <w:gridCol w:w="1299"/>
        <w:gridCol w:w="1140"/>
        <w:gridCol w:w="1145"/>
        <w:gridCol w:w="109"/>
        <w:gridCol w:w="109"/>
        <w:gridCol w:w="109"/>
        <w:gridCol w:w="275"/>
        <w:gridCol w:w="843"/>
        <w:gridCol w:w="142"/>
        <w:gridCol w:w="109"/>
        <w:gridCol w:w="109"/>
        <w:gridCol w:w="109"/>
        <w:gridCol w:w="338"/>
        <w:gridCol w:w="1035"/>
        <w:gridCol w:w="246"/>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Risk participation agreements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risk participation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Notional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ACCUMULATED OTHER COMPREHENSIVE INCOME (LOSS)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activity and accumulated balances for components of other comprehensive income (loss):</w:t>
      </w:r>
    </w:p>
    <w:tbl>
      <w:tblPr>
        <w:tblW w:w="10205" w:type="dxa"/>
        <w:jc w:val="left"/>
        <w:tblInd w:w="0" w:type="dxa"/>
        <w:tblLayout w:type="fixed"/>
        <w:tblCellMar>
          <w:top w:w="28" w:type="dxa"/>
          <w:left w:w="28" w:type="dxa"/>
          <w:bottom w:w="28" w:type="dxa"/>
          <w:right w:w="28" w:type="dxa"/>
        </w:tblCellMar>
      </w:tblPr>
      <w:tblGrid>
        <w:gridCol w:w="1529"/>
        <w:gridCol w:w="1165"/>
        <w:gridCol w:w="1169"/>
        <w:gridCol w:w="109"/>
        <w:gridCol w:w="109"/>
        <w:gridCol w:w="109"/>
        <w:gridCol w:w="295"/>
        <w:gridCol w:w="1052"/>
        <w:gridCol w:w="154"/>
        <w:gridCol w:w="109"/>
        <w:gridCol w:w="109"/>
        <w:gridCol w:w="109"/>
        <w:gridCol w:w="304"/>
        <w:gridCol w:w="933"/>
        <w:gridCol w:w="159"/>
        <w:gridCol w:w="109"/>
        <w:gridCol w:w="109"/>
        <w:gridCol w:w="109"/>
        <w:gridCol w:w="257"/>
        <w:gridCol w:w="586"/>
        <w:gridCol w:w="133"/>
        <w:gridCol w:w="109"/>
        <w:gridCol w:w="109"/>
        <w:gridCol w:w="109"/>
        <w:gridCol w:w="211"/>
        <w:gridCol w:w="794"/>
        <w:gridCol w:w="156"/>
      </w:tblGrid>
      <w:tr>
        <w:trPr/>
        <w:tc>
          <w:tcPr>
            <w:tcW w:w="15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Unrealized Gains (Losses)</w:t>
              <w:br/>
              <w:t>on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Available-for-Sale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Held-to-Maturity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 xml:space="preserve">Total </w:t>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(4,676)</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(4,353)</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(21,996)</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(5,375)</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(27,371)</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 (loss),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3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8,319 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(31,427)</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w:t>
            </w:r>
          </w:p>
        </w:tc>
        <w:tc>
          <w:tcPr>
            <w:tcW w:w="1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(38,446)</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488" w:type="dxa"/>
            <w:gridSpan w:val="6"/>
            <w:tcBorders/>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Reclassifications from accumulated other comprehensive income (loss) for unrealized gains (losses) on debt securities available-for-sale are included in either gains (losses) on sales of securities or provision for credit losses in the accompanying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Reclassifications from accumulated other comprehensive income (loss) for unrealized gains on debt securities held-to-maturity are included in securities interest income in the accompanying consolidated statements of income.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Reclassifications from accumulated other comprehensive income (loss) for the fair value of derivative financial instruments represent net interest payments received or made on derivatives designated as cash flow hedges. See Note 9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11 – EARNINGS PER SHARE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Basic earnings per share is computed by dividing net income for the period by the weighted average number of common shares outstanding. Diluted earnings per share is computed using the treasury stock method and reflects the potential dilution from the Company’s outstanding restricted stock units and performance restricted stock units.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2535"/>
        <w:gridCol w:w="2217"/>
        <w:gridCol w:w="2213"/>
        <w:gridCol w:w="217"/>
        <w:gridCol w:w="773"/>
        <w:gridCol w:w="111"/>
        <w:gridCol w:w="111"/>
        <w:gridCol w:w="111"/>
        <w:gridCol w:w="111"/>
        <w:gridCol w:w="217"/>
        <w:gridCol w:w="773"/>
        <w:gridCol w:w="111"/>
        <w:gridCol w:w="109"/>
        <w:gridCol w:w="109"/>
        <w:gridCol w:w="109"/>
        <w:gridCol w:w="109"/>
        <w:gridCol w:w="109"/>
        <w:gridCol w:w="160"/>
      </w:tblGrid>
      <w:tr>
        <w:trPr/>
        <w:tc>
          <w:tcPr>
            <w:tcW w:w="253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33,180,009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31,584,989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outstanding restricted stock units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120,087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including all dilutive potential shares</w:t>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33,300,096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31,711,671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per share - basic</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per share - diluted</w:t>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12 – STOCK-BASED COMPENSATION PLANS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adopted the HBT Financial, Inc. Omnibus Incentive Plan (the “Omnibus Incentive Plan”). The Omnibus Incentive Plan provides for grants of (i) stock options, (ii) stock appreciation rights, (iii) restricted shares, (iv) restricted stock units, (v) performance awards, (vi) other share-based awards and (vii) other cash-based awards to eligible employees, non-employee directors and consultants of the Company. The maximum number of shares of common stock available for issuance under the Omnibus Incentive Plan is 1,820,000 shares.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stock-based compensation expense (benefit):</w:t>
      </w:r>
    </w:p>
    <w:tbl>
      <w:tblPr>
        <w:tblW w:w="7208" w:type="dxa"/>
        <w:jc w:val="left"/>
        <w:tblInd w:w="0" w:type="dxa"/>
        <w:tblLayout w:type="fixed"/>
        <w:tblCellMar>
          <w:top w:w="28" w:type="dxa"/>
          <w:left w:w="28" w:type="dxa"/>
          <w:bottom w:w="28" w:type="dxa"/>
          <w:right w:w="28" w:type="dxa"/>
        </w:tblCellMar>
      </w:tblPr>
      <w:tblGrid>
        <w:gridCol w:w="1435"/>
        <w:gridCol w:w="1259"/>
        <w:gridCol w:w="1265"/>
        <w:gridCol w:w="279"/>
        <w:gridCol w:w="636"/>
        <w:gridCol w:w="144"/>
        <w:gridCol w:w="144"/>
        <w:gridCol w:w="144"/>
        <w:gridCol w:w="144"/>
        <w:gridCol w:w="279"/>
        <w:gridCol w:w="636"/>
        <w:gridCol w:w="144"/>
        <w:gridCol w:w="109"/>
        <w:gridCol w:w="109"/>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restricted stock units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awards classified as equity</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appreciation rights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stock-based compensation expense</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Restricted Stock Units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restricted stock unit grants a participant the right to receive one share of the Company’s common stock, following the completion of the requisite service period. Restricted stock units are classified as equity. Compensation cost is based on the Company’s stock price on the grant date and is recognized on a straight-line basis over the service period for the entire award. Dividend equivalents on restricted stock units, which are accrued until vested, are classified as dividends charged to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2026 and 2025, the total grant date fair value of the restricted stock units granted was $1.7 million and $1.1 million, respectively, based on the grant date closing prices. The total intrinsic value of restricted stock units that vested during the three months ended March 31, 2026 and 2025 was $1.4 million and $1.4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restricted stock unit activity:</w:t>
      </w:r>
    </w:p>
    <w:tbl>
      <w:tblPr>
        <w:tblW w:w="7141" w:type="dxa"/>
        <w:jc w:val="left"/>
        <w:tblInd w:w="0" w:type="dxa"/>
        <w:tblLayout w:type="fixed"/>
        <w:tblCellMar>
          <w:top w:w="28" w:type="dxa"/>
          <w:left w:w="28" w:type="dxa"/>
          <w:bottom w:w="28" w:type="dxa"/>
          <w:right w:w="28" w:type="dxa"/>
        </w:tblCellMar>
      </w:tblPr>
      <w:tblGrid>
        <w:gridCol w:w="618"/>
        <w:gridCol w:w="545"/>
        <w:gridCol w:w="546"/>
        <w:gridCol w:w="339"/>
        <w:gridCol w:w="339"/>
        <w:gridCol w:w="341"/>
        <w:gridCol w:w="109"/>
        <w:gridCol w:w="109"/>
        <w:gridCol w:w="109"/>
        <w:gridCol w:w="211"/>
        <w:gridCol w:w="646"/>
        <w:gridCol w:w="109"/>
        <w:gridCol w:w="109"/>
        <w:gridCol w:w="109"/>
        <w:gridCol w:w="109"/>
        <w:gridCol w:w="339"/>
        <w:gridCol w:w="339"/>
        <w:gridCol w:w="341"/>
        <w:gridCol w:w="109"/>
        <w:gridCol w:w="109"/>
        <w:gridCol w:w="109"/>
        <w:gridCol w:w="211"/>
        <w:gridCol w:w="646"/>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774" w:type="dxa"/>
            <w:gridSpan w:val="10"/>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10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March 31, 2026, unrecognized compensation cost related to the non-vested restricted stock units was $2.1 million. This cost is expected to be recognized over the weighted average remaining service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Performance Restricted Stock Units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performance restricted stock unit is similar to a restricted stock unit, except that the number of shares of the Company’s common stock awarded is based on a performance condition and the completion of the requisite service period. The number of shares of the Company’s common stock that may be earned ranges from 0% to 150% of the number of performance restricted stock units granted. Performance restricted stock units are classified as equity. Compensation cost is based on the Company’s stock price on the grant date and an assessment of the probable outcome of the performance condition. Compensation cost is recognized on a straight-line basis over the service period of the entire award. Changes in the performance condition probability assessment result in cumulative catch-up adjustments to the compensation cost recognized. Dividend equivalents on performance restricted stock units, which are accrued until vested, are classified as dividends charged to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2026 and 2025, the total fair value of the performance restricted stock units granted was $0.5 million and $0.4 million, respectively, based on the grant date closing prices and an assessment of the probable outcome of the performance condition on the grant date. The total intrinsic value of performance restricted stock units that vested during the three months ended March 31, 2026 and 2025 was $0.7 million and $1.1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performance restricted stock unit activity:</w:t>
      </w:r>
    </w:p>
    <w:tbl>
      <w:tblPr>
        <w:tblW w:w="9130" w:type="dxa"/>
        <w:jc w:val="left"/>
        <w:tblInd w:w="0" w:type="dxa"/>
        <w:tblLayout w:type="fixed"/>
        <w:tblCellMar>
          <w:top w:w="28" w:type="dxa"/>
          <w:left w:w="28" w:type="dxa"/>
          <w:bottom w:w="28" w:type="dxa"/>
          <w:right w:w="28" w:type="dxa"/>
        </w:tblCellMar>
      </w:tblPr>
      <w:tblGrid>
        <w:gridCol w:w="1220"/>
        <w:gridCol w:w="1076"/>
        <w:gridCol w:w="1078"/>
        <w:gridCol w:w="404"/>
        <w:gridCol w:w="406"/>
        <w:gridCol w:w="371"/>
        <w:gridCol w:w="109"/>
        <w:gridCol w:w="109"/>
        <w:gridCol w:w="109"/>
        <w:gridCol w:w="211"/>
        <w:gridCol w:w="646"/>
        <w:gridCol w:w="109"/>
        <w:gridCol w:w="109"/>
        <w:gridCol w:w="109"/>
        <w:gridCol w:w="109"/>
        <w:gridCol w:w="404"/>
        <w:gridCol w:w="406"/>
        <w:gridCol w:w="371"/>
        <w:gridCol w:w="109"/>
        <w:gridCol w:w="109"/>
        <w:gridCol w:w="109"/>
        <w:gridCol w:w="211"/>
        <w:gridCol w:w="646"/>
        <w:gridCol w:w="109"/>
        <w:gridCol w:w="109"/>
        <w:gridCol w:w="109"/>
        <w:gridCol w:w="109"/>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774" w:type="dxa"/>
            <w:gridSpan w:val="10"/>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Performance</w:t>
              <w:b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Performance</w:t>
              <w:b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53,625 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70,333 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(25,547)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(42,783)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54,369 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53,625 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As of March 31, 2026, unrecognized compensation cost related to non-vested performance restricted stock units was $0.6 million, based on the current assessment of the probable outcome of the performance conditions. This cost is expected to be recognized over the weighted average remaining service period of 1.6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Stock Appreciation Rights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stock appreciation right grants a participant the right to receive an amount of cash, the value of which equals the appreciation in the Company’s stock price between the grant date and the exercise date. Stock appreciation rights are classified as liabilities. The liability is based on an option-pricing model used to estimate the fair value of the stock appreciation rights. Compensation cost for non-vested stock appreciation rights is recognized on a straight-line basis over the service period of the entire award.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summary of stock appreciation rights activity:</w:t>
      </w:r>
    </w:p>
    <w:tbl>
      <w:tblPr>
        <w:tblW w:w="8091" w:type="dxa"/>
        <w:jc w:val="left"/>
        <w:tblInd w:w="0" w:type="dxa"/>
        <w:tblLayout w:type="fixed"/>
        <w:tblCellMar>
          <w:top w:w="28" w:type="dxa"/>
          <w:left w:w="28" w:type="dxa"/>
          <w:bottom w:w="28" w:type="dxa"/>
          <w:right w:w="28" w:type="dxa"/>
        </w:tblCellMar>
      </w:tblPr>
      <w:tblGrid>
        <w:gridCol w:w="618"/>
        <w:gridCol w:w="545"/>
        <w:gridCol w:w="546"/>
        <w:gridCol w:w="375"/>
        <w:gridCol w:w="375"/>
        <w:gridCol w:w="376"/>
        <w:gridCol w:w="109"/>
        <w:gridCol w:w="109"/>
        <w:gridCol w:w="109"/>
        <w:gridCol w:w="291"/>
        <w:gridCol w:w="893"/>
        <w:gridCol w:w="150"/>
        <w:gridCol w:w="109"/>
        <w:gridCol w:w="109"/>
        <w:gridCol w:w="109"/>
        <w:gridCol w:w="375"/>
        <w:gridCol w:w="375"/>
        <w:gridCol w:w="376"/>
        <w:gridCol w:w="109"/>
        <w:gridCol w:w="109"/>
        <w:gridCol w:w="109"/>
        <w:gridCol w:w="291"/>
        <w:gridCol w:w="893"/>
        <w:gridCol w:w="150"/>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2142" w:type="dxa"/>
            <w:gridSpan w:val="10"/>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w:t>
              <w:br/>
              <w:t>Appreciation</w:t>
              <w:br/>
              <w:t>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Assigned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Stock</w:t>
              <w:br/>
              <w:t>Appreciation</w:t>
              <w:br/>
              <w:t>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Assigned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all stock appreciation rights were exercisable and had a weighted average remaining term of 3.4 years. There was no unrecognized compensation cost for stock appreciation rights as of March 31, 2026.</w:t>
      </w:r>
    </w:p>
    <w:p>
      <w:pPr>
        <w:pStyle w:val="TextBody"/>
        <w:bidi w:val="0"/>
        <w:spacing w:before="24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2026 and December 31, 2025, the liability recorded for outstanding stock appreciation rights was $0.7 million and $0.7 million, respectively. The Company uses an option pricing model to value the stock appreciation rights, using the assumptions in the following table. Expected volatility is derived from the historical volatility of the Company’s stock price.</w:t>
      </w:r>
    </w:p>
    <w:tbl>
      <w:tblPr>
        <w:tblW w:w="5563" w:type="dxa"/>
        <w:jc w:val="left"/>
        <w:tblInd w:w="0" w:type="dxa"/>
        <w:tblLayout w:type="fixed"/>
        <w:tblCellMar>
          <w:top w:w="28" w:type="dxa"/>
          <w:left w:w="28" w:type="dxa"/>
          <w:bottom w:w="28" w:type="dxa"/>
          <w:right w:w="28" w:type="dxa"/>
        </w:tblCellMar>
      </w:tblPr>
      <w:tblGrid>
        <w:gridCol w:w="793"/>
        <w:gridCol w:w="697"/>
        <w:gridCol w:w="700"/>
        <w:gridCol w:w="323"/>
        <w:gridCol w:w="323"/>
        <w:gridCol w:w="718"/>
        <w:gridCol w:w="109"/>
        <w:gridCol w:w="109"/>
        <w:gridCol w:w="109"/>
        <w:gridCol w:w="382"/>
        <w:gridCol w:w="320"/>
        <w:gridCol w:w="980"/>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29.88 </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29.60 </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13 – REGULATORY CAPITAL</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(on a consolidated basis) and the Bank are each subject to various regulatory capital requirements administered by the federal and state banking agencies. Failure to meet minimum capital requirements can initiate certain mandatory, and possibly additional discretionary, actions by the regulators that, if undertaken, could have a direct material effect on the consolidated financial statements of the Company and the Bank. Additionally, the ability of the Company to pay dividends to its stockholders is dependent upon the ability of the Bank to pay dividends to the Company.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Under capital adequacy guidelines and the regulatory framework for prompt corrective action, the Company and the Bank must meet specific capital guidelines that involve quantitative measures of the assets, liabilities, and certain off-balance-sheet items as calculated under regulatory accounting practices. The capital amounts and classification are also subject to qualitative judgments by regulators about components, risk weightings, and other factors. As allowed under the regulations, the Company and the Bank elected to exclude accumulated other comprehensive income, including unrealized gains and losses on debt securities, in the computation of regulatory capital. Prompt corrective action provisions are not applicable to bank holding companies.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Additionally, the Company and the Bank must maintain a “capital conservation buffer” to avoid becoming subject to restrictions on capital distributions and certain discretionary bonus payments to management. The capital conservation buffer is 2.5% of risk-weighted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Company and the Bank each met all capital adequacy requirements to which they were subject.</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actual and required capital amounts and ratios of the Company (on a consolidated basis) and the Bank were as follows:</w:t>
      </w:r>
    </w:p>
    <w:tbl>
      <w:tblPr>
        <w:tblW w:w="10205" w:type="dxa"/>
        <w:jc w:val="left"/>
        <w:tblInd w:w="0" w:type="dxa"/>
        <w:tblLayout w:type="fixed"/>
        <w:tblCellMar>
          <w:top w:w="28" w:type="dxa"/>
          <w:left w:w="28" w:type="dxa"/>
          <w:bottom w:w="28" w:type="dxa"/>
          <w:right w:w="28" w:type="dxa"/>
        </w:tblCellMar>
      </w:tblPr>
      <w:tblGrid>
        <w:gridCol w:w="717"/>
        <w:gridCol w:w="552"/>
        <w:gridCol w:w="395"/>
        <w:gridCol w:w="109"/>
        <w:gridCol w:w="109"/>
        <w:gridCol w:w="109"/>
        <w:gridCol w:w="211"/>
        <w:gridCol w:w="856"/>
        <w:gridCol w:w="109"/>
        <w:gridCol w:w="109"/>
        <w:gridCol w:w="109"/>
        <w:gridCol w:w="109"/>
        <w:gridCol w:w="323"/>
        <w:gridCol w:w="323"/>
        <w:gridCol w:w="302"/>
        <w:gridCol w:w="109"/>
        <w:gridCol w:w="109"/>
        <w:gridCol w:w="109"/>
        <w:gridCol w:w="216"/>
        <w:gridCol w:w="877"/>
        <w:gridCol w:w="111"/>
        <w:gridCol w:w="111"/>
        <w:gridCol w:w="111"/>
        <w:gridCol w:w="111"/>
        <w:gridCol w:w="295"/>
        <w:gridCol w:w="246"/>
        <w:gridCol w:w="293"/>
        <w:gridCol w:w="109"/>
        <w:gridCol w:w="109"/>
        <w:gridCol w:w="109"/>
        <w:gridCol w:w="239"/>
        <w:gridCol w:w="973"/>
        <w:gridCol w:w="123"/>
        <w:gridCol w:w="123"/>
        <w:gridCol w:w="123"/>
        <w:gridCol w:w="123"/>
        <w:gridCol w:w="352"/>
        <w:gridCol w:w="294"/>
        <w:gridCol w:w="388"/>
      </w:tblGrid>
      <w:tr>
        <w:trPr/>
        <w:tc>
          <w:tcPr>
            <w:tcW w:w="71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Capital 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 Be Well Capitalized Under Prompt Corrective Action Provisions</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HBT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848,235 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424,463 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318,347 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238,760 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224,898 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Heartland Bank and Trust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424,096 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530,120 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318,072 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424,096 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344,578 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280,887 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7"/>
        <w:gridCol w:w="552"/>
        <w:gridCol w:w="395"/>
        <w:gridCol w:w="109"/>
        <w:gridCol w:w="109"/>
        <w:gridCol w:w="109"/>
        <w:gridCol w:w="211"/>
        <w:gridCol w:w="856"/>
        <w:gridCol w:w="109"/>
        <w:gridCol w:w="109"/>
        <w:gridCol w:w="109"/>
        <w:gridCol w:w="109"/>
        <w:gridCol w:w="323"/>
        <w:gridCol w:w="323"/>
        <w:gridCol w:w="302"/>
        <w:gridCol w:w="109"/>
        <w:gridCol w:w="109"/>
        <w:gridCol w:w="109"/>
        <w:gridCol w:w="216"/>
        <w:gridCol w:w="877"/>
        <w:gridCol w:w="111"/>
        <w:gridCol w:w="111"/>
        <w:gridCol w:w="111"/>
        <w:gridCol w:w="111"/>
        <w:gridCol w:w="295"/>
        <w:gridCol w:w="246"/>
        <w:gridCol w:w="293"/>
        <w:gridCol w:w="109"/>
        <w:gridCol w:w="109"/>
        <w:gridCol w:w="109"/>
        <w:gridCol w:w="239"/>
        <w:gridCol w:w="973"/>
        <w:gridCol w:w="123"/>
        <w:gridCol w:w="123"/>
        <w:gridCol w:w="123"/>
        <w:gridCol w:w="123"/>
        <w:gridCol w:w="352"/>
        <w:gridCol w:w="294"/>
        <w:gridCol w:w="388"/>
      </w:tblGrid>
      <w:tr>
        <w:trPr/>
        <w:tc>
          <w:tcPr>
            <w:tcW w:w="71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Capital 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 Be Well Capitalized Under Prompt Corrective Action Provisions</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Ratio </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HBT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315,844 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177,662 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202,443 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Heartland Bank and Trust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315,520 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394,400 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236,640 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315,520 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177,480 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256,360 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14 – SEGMENT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operations consist of one reportable segment. The President and Chief Executive Officer is the designated chief operating decision maker. The chief operating decision maker uses consolidated financial information for purposes of allocating resources and assessing performance. The chief operating decision maker uses consolidated net income to benchmark the Company against its competitors. The benchmarking analysis coupled with monitoring of budget to actual results are used to assess performance and in establishing compensation. Interest income from loans and investments as well as noninterest income from deposit customer activity, wealth management activities, and mortgage servicing generate the significant revenues. Interest expense, provisions for credit losses, and noninterest expenses such as compensation, occupancy, and data processing costs constitute the significant expenses. Significant revenues and expenses regularly provided to the chief operating decision maker are detailed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15 – FAIR VALUE OF FINANCIAL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240" w:after="283"/>
        <w:jc w:val="both"/>
        <w:rPr/>
      </w:pP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 Quoted prices (unadjusted) for identical assets or liabilities in active markets that the Company has the ability to access as of the measurement date.</w:t>
      </w:r>
    </w:p>
    <w:p>
      <w:pPr>
        <w:pStyle w:val="TextBody"/>
        <w:bidi w:val="0"/>
        <w:spacing w:lineRule="auto" w:line="288" w:before="240" w:after="283"/>
        <w:jc w:val="both"/>
        <w:rPr/>
      </w:pP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 Significant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240" w:after="283"/>
        <w:jc w:val="both"/>
        <w:rPr/>
      </w:pP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 Significant unobservable inputs that reflect a Company’s own assumptions about the assumptions that market participants would use in pricing an asset or liability.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uses fair value to measure certain assets and liabilities on a recurring basis, such as investment securities, mortgage servicing rights, and derivatives. For assets measured at the lower of cost or fair value, the fair value measurement criteria may or may not be met during a reporting period, and such measurements are therefore considered "nonrecurring" for purposes of disclosing the Company's fair value measurements. Fair value is used on a nonrecurring basis to adjust carrying values for loans held for sale, collateral-dependent loans, bank premises held for sale, and foreclosed assets.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Recurring Basis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description of the methods and significant assumptions used to measure the fair value of assets and liabilities on a recurring basis.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When available, the Company uses quoted market prices to determine the fair value of securities; such items are classified in Level 1 of the fair value hierarchy. For the Company’s securities where quoted prices are not available for identical securities in an active market, the Company determines fair value utilizing vendors who apply matrix pricing for similar bonds where no price is observable or may compile prices from various sources. These models are primarily industry-standard models that consider various assumptions, including time value, yield curve, volatility factors, prepayment speeds, default rates, loss severity, current market and contractual prices for the underlying financial instruments, as well as other relevant economic measures. Substantially all of these assumptions are observable in the marketplace. Fair values from these models are verified, where possible, against quoted market prices for recent trading activity of assets with similar characteristics to the security being valued. Such methods are generally classified as Level 2; however, when prices from independent sources vary, cannot be obtained or cannot be corroborated, a security is generally classified as Level 3. The change in fair value of debt securities available-for-sale is recorded through an adjustment to the consolidated statement of comprehensive income. The change in fair value of equity securities with readily determinable fair values is recorded through an adjustment to the consolidated statement of income.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Mortgage Servicing Rights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elected to record its mortgage servicing rights at fair value. Mortgage servicing rights do not trade in an active market with readily observable prices. Accordingly, the Company determines the fair value of mortgage servicing rights by estimating the fair value of the future cash flows associated with the mortgage loans being serviced as calculated by an independent third party. Key economic assumptions used in measuring the fair value of mortgage servicing rights include, but are not limited to, prepayment speeds and discount rates. Due to the nature of the valuation inputs, mortgage servicing rights are classified as Level 3. The change in fair value is recorded through an adjustment to the consolidated statement of income.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Derivative Financial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Derivative financial instruments are carried at fair value as determined by dealer valuation models. Based on the inputs used, the derivative financial instruments subjected to recurring fair value adjustments are classified as Level 2. For derivative financial instruments designated as hedging instruments, the change in fair value is recorded through an adjustment to the consolidated statement of comprehensive income. For derivative financial instruments not designated as hedging instruments, the change in fair value is recorded through an adjustment to the consolidated statement of income.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assets and liabilities measured at fair value on a recurring basis as of March 31, 2026 and December 31, 2025 by level within the fair value hierarchy:</w:t>
      </w:r>
    </w:p>
    <w:tbl>
      <w:tblPr>
        <w:tblW w:w="9849" w:type="dxa"/>
        <w:jc w:val="left"/>
        <w:tblInd w:w="0" w:type="dxa"/>
        <w:tblLayout w:type="fixed"/>
        <w:tblCellMar>
          <w:top w:w="28" w:type="dxa"/>
          <w:left w:w="28" w:type="dxa"/>
          <w:bottom w:w="28" w:type="dxa"/>
          <w:right w:w="28" w:type="dxa"/>
        </w:tblCellMar>
      </w:tblPr>
      <w:tblGrid>
        <w:gridCol w:w="1718"/>
        <w:gridCol w:w="1507"/>
        <w:gridCol w:w="1514"/>
        <w:gridCol w:w="109"/>
        <w:gridCol w:w="109"/>
        <w:gridCol w:w="109"/>
        <w:gridCol w:w="220"/>
        <w:gridCol w:w="426"/>
        <w:gridCol w:w="109"/>
        <w:gridCol w:w="109"/>
        <w:gridCol w:w="109"/>
        <w:gridCol w:w="109"/>
        <w:gridCol w:w="211"/>
        <w:gridCol w:w="751"/>
        <w:gridCol w:w="109"/>
        <w:gridCol w:w="109"/>
        <w:gridCol w:w="109"/>
        <w:gridCol w:w="109"/>
        <w:gridCol w:w="256"/>
        <w:gridCol w:w="495"/>
        <w:gridCol w:w="109"/>
        <w:gridCol w:w="109"/>
        <w:gridCol w:w="109"/>
        <w:gridCol w:w="109"/>
        <w:gridCol w:w="211"/>
        <w:gridCol w:w="751"/>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1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3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br/>
              <w:t>Fair Value</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securities with readily determinable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49" w:type="dxa"/>
        <w:jc w:val="left"/>
        <w:tblInd w:w="0" w:type="dxa"/>
        <w:tblLayout w:type="fixed"/>
        <w:tblCellMar>
          <w:top w:w="28" w:type="dxa"/>
          <w:left w:w="28" w:type="dxa"/>
          <w:bottom w:w="28" w:type="dxa"/>
          <w:right w:w="28" w:type="dxa"/>
        </w:tblCellMar>
      </w:tblPr>
      <w:tblGrid>
        <w:gridCol w:w="1718"/>
        <w:gridCol w:w="1507"/>
        <w:gridCol w:w="1514"/>
        <w:gridCol w:w="109"/>
        <w:gridCol w:w="109"/>
        <w:gridCol w:w="109"/>
        <w:gridCol w:w="220"/>
        <w:gridCol w:w="426"/>
        <w:gridCol w:w="109"/>
        <w:gridCol w:w="109"/>
        <w:gridCol w:w="109"/>
        <w:gridCol w:w="109"/>
        <w:gridCol w:w="211"/>
        <w:gridCol w:w="751"/>
        <w:gridCol w:w="109"/>
        <w:gridCol w:w="109"/>
        <w:gridCol w:w="109"/>
        <w:gridCol w:w="109"/>
        <w:gridCol w:w="256"/>
        <w:gridCol w:w="495"/>
        <w:gridCol w:w="109"/>
        <w:gridCol w:w="109"/>
        <w:gridCol w:w="109"/>
        <w:gridCol w:w="109"/>
        <w:gridCol w:w="211"/>
        <w:gridCol w:w="751"/>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1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3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br/>
              <w:t>Fair Value</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securities with readily determinable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additional information about the unobservable inputs used in the fair value measurement of the mortgage servicing rights (dollars in thousands):</w:t>
      </w:r>
    </w:p>
    <w:tbl>
      <w:tblPr>
        <w:tblW w:w="10205" w:type="dxa"/>
        <w:jc w:val="left"/>
        <w:tblInd w:w="0" w:type="dxa"/>
        <w:tblLayout w:type="fixed"/>
        <w:tblCellMar>
          <w:top w:w="28" w:type="dxa"/>
          <w:left w:w="28" w:type="dxa"/>
          <w:bottom w:w="28" w:type="dxa"/>
          <w:right w:w="28" w:type="dxa"/>
        </w:tblCellMar>
      </w:tblPr>
      <w:tblGrid>
        <w:gridCol w:w="713"/>
        <w:gridCol w:w="587"/>
        <w:gridCol w:w="565"/>
        <w:gridCol w:w="109"/>
        <w:gridCol w:w="109"/>
        <w:gridCol w:w="109"/>
        <w:gridCol w:w="211"/>
        <w:gridCol w:w="751"/>
        <w:gridCol w:w="109"/>
        <w:gridCol w:w="109"/>
        <w:gridCol w:w="109"/>
        <w:gridCol w:w="109"/>
        <w:gridCol w:w="612"/>
        <w:gridCol w:w="568"/>
        <w:gridCol w:w="570"/>
        <w:gridCol w:w="109"/>
        <w:gridCol w:w="109"/>
        <w:gridCol w:w="109"/>
        <w:gridCol w:w="830"/>
        <w:gridCol w:w="830"/>
        <w:gridCol w:w="832"/>
        <w:gridCol w:w="109"/>
        <w:gridCol w:w="109"/>
        <w:gridCol w:w="109"/>
        <w:gridCol w:w="501"/>
        <w:gridCol w:w="501"/>
        <w:gridCol w:w="717"/>
      </w:tblGrid>
      <w:tr>
        <w:trPr/>
        <w:tc>
          <w:tcPr>
            <w:tcW w:w="71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Range</w:t>
              <w:br/>
              <w:t>(Weighted Average)</w:t>
            </w:r>
          </w:p>
        </w:tc>
      </w:tr>
      <w:tr>
        <w:trPr/>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Constant pre-payment rates (CPR)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 to 94.3% (7.9%)</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 to 12.6% (9.6%)</w:t>
            </w:r>
          </w:p>
        </w:tc>
      </w:tr>
    </w:tbl>
    <w:tbl>
      <w:tblPr>
        <w:tblW w:w="10205" w:type="dxa"/>
        <w:jc w:val="left"/>
        <w:tblInd w:w="0" w:type="dxa"/>
        <w:tblLayout w:type="fixed"/>
        <w:tblCellMar>
          <w:top w:w="28" w:type="dxa"/>
          <w:left w:w="28" w:type="dxa"/>
          <w:bottom w:w="28" w:type="dxa"/>
          <w:right w:w="28" w:type="dxa"/>
        </w:tblCellMar>
      </w:tblPr>
      <w:tblGrid>
        <w:gridCol w:w="679"/>
        <w:gridCol w:w="591"/>
        <w:gridCol w:w="595"/>
        <w:gridCol w:w="109"/>
        <w:gridCol w:w="109"/>
        <w:gridCol w:w="109"/>
        <w:gridCol w:w="211"/>
        <w:gridCol w:w="751"/>
        <w:gridCol w:w="109"/>
        <w:gridCol w:w="109"/>
        <w:gridCol w:w="109"/>
        <w:gridCol w:w="109"/>
        <w:gridCol w:w="612"/>
        <w:gridCol w:w="568"/>
        <w:gridCol w:w="570"/>
        <w:gridCol w:w="109"/>
        <w:gridCol w:w="109"/>
        <w:gridCol w:w="109"/>
        <w:gridCol w:w="830"/>
        <w:gridCol w:w="830"/>
        <w:gridCol w:w="832"/>
        <w:gridCol w:w="109"/>
        <w:gridCol w:w="109"/>
        <w:gridCol w:w="109"/>
        <w:gridCol w:w="501"/>
        <w:gridCol w:w="501"/>
        <w:gridCol w:w="717"/>
      </w:tblGrid>
      <w:tr>
        <w:trPr/>
        <w:tc>
          <w:tcPr>
            <w:tcW w:w="67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Range</w:t>
              <w:br/>
              <w:t>(Weighted Average)</w:t>
            </w:r>
          </w:p>
        </w:tc>
      </w:tr>
      <w:tr>
        <w:trPr/>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Constant pre-payment rates (CPR)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 to 94.3% (8.1%)</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 to 11.0% (9.6%)</w:t>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Nonrecurring Basis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is a description of the methods and significant assumptions used to measure the fair value of assets and liabilities on a nonrecurring basis.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Loans Held for Sale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Mortgage loans originated and held for sale are carried at the lower of cost or estimated fair value. The Company obtains quotes or bids on these loans directly from purchasing financial institutions. Typically, these quotes include a premium on the sale and thus these quotes generally indicate fair value of the held for sale loans is greater than cost. Loans held for sale have been classified as Level 2.</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Collateral-Dependent Loans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Periodically, a collateral-dependent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recent appraisals and customized discounting criteria. Due to the significance of unobservable inputs, fair values of collateral-dependent loans have been classified as Level 3.</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Bank Premises Held for Sale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Bank premises held for sale are recorded at the lower of cost or fair value, less estimated selling costs, at the date classified as held for sale. Values are estimated using recent appraisals and customized discounting criteria. Due to the significance of unobservable inputs, fair values of bank premises held for sale have been classified as Level 3.</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Foreclosed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Foreclosed assets are recorded at fair value based on property appraisals, less estimated selling costs, at the date of the transfer. Subsequent to the transfer, foreclosed assets are carried at the lower of cost or fair value, less estimated selling costs. Values are estimated using recent appraisals and customized discounting criteria. Due to the significance of unobservable inputs, fair values of foreclosed assets have been classified as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assets measured at fair value on a nonrecurring basis as of March 31, 2026 and December 31, 2025 by level within the fair value hierarchy:</w:t>
      </w:r>
    </w:p>
    <w:tbl>
      <w:tblPr>
        <w:tblW w:w="7420"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211"/>
        <w:gridCol w:w="406"/>
        <w:gridCol w:w="109"/>
        <w:gridCol w:w="109"/>
        <w:gridCol w:w="109"/>
        <w:gridCol w:w="109"/>
        <w:gridCol w:w="211"/>
        <w:gridCol w:w="646"/>
        <w:gridCol w:w="109"/>
        <w:gridCol w:w="109"/>
        <w:gridCol w:w="109"/>
        <w:gridCol w:w="109"/>
        <w:gridCol w:w="256"/>
        <w:gridCol w:w="495"/>
        <w:gridCol w:w="109"/>
        <w:gridCol w:w="109"/>
        <w:gridCol w:w="109"/>
        <w:gridCol w:w="109"/>
        <w:gridCol w:w="211"/>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1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3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br/>
              <w:t>Fair Value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Collateral-dependent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Bank premises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Foreclosed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5" w:type="dxa"/>
        <w:jc w:val="left"/>
        <w:tblInd w:w="0" w:type="dxa"/>
        <w:tblLayout w:type="fixed"/>
        <w:tblCellMar>
          <w:top w:w="28" w:type="dxa"/>
          <w:left w:w="28" w:type="dxa"/>
          <w:bottom w:w="28" w:type="dxa"/>
          <w:right w:w="28" w:type="dxa"/>
        </w:tblCellMar>
      </w:tblPr>
      <w:tblGrid>
        <w:gridCol w:w="875"/>
        <w:gridCol w:w="767"/>
        <w:gridCol w:w="772"/>
        <w:gridCol w:w="109"/>
        <w:gridCol w:w="109"/>
        <w:gridCol w:w="109"/>
        <w:gridCol w:w="211"/>
        <w:gridCol w:w="406"/>
        <w:gridCol w:w="109"/>
        <w:gridCol w:w="109"/>
        <w:gridCol w:w="109"/>
        <w:gridCol w:w="109"/>
        <w:gridCol w:w="211"/>
        <w:gridCol w:w="646"/>
        <w:gridCol w:w="109"/>
        <w:gridCol w:w="109"/>
        <w:gridCol w:w="109"/>
        <w:gridCol w:w="109"/>
        <w:gridCol w:w="256"/>
        <w:gridCol w:w="495"/>
        <w:gridCol w:w="109"/>
        <w:gridCol w:w="109"/>
        <w:gridCol w:w="109"/>
        <w:gridCol w:w="109"/>
        <w:gridCol w:w="211"/>
        <w:gridCol w:w="64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1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3 </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br/>
              <w:t>Fair Value</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Collateral-dependent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Foreclosed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quantitative information about unobservable inputs used in nonrecurring Level 3 fair value measurements (dollars in thousands):</w:t>
      </w:r>
    </w:p>
    <w:tbl>
      <w:tblPr>
        <w:tblW w:w="10205" w:type="dxa"/>
        <w:jc w:val="left"/>
        <w:tblInd w:w="0" w:type="dxa"/>
        <w:tblLayout w:type="fixed"/>
        <w:tblCellMar>
          <w:top w:w="28" w:type="dxa"/>
          <w:left w:w="28" w:type="dxa"/>
          <w:bottom w:w="28" w:type="dxa"/>
          <w:right w:w="28" w:type="dxa"/>
        </w:tblCellMar>
      </w:tblPr>
      <w:tblGrid>
        <w:gridCol w:w="885"/>
        <w:gridCol w:w="778"/>
        <w:gridCol w:w="790"/>
        <w:gridCol w:w="109"/>
        <w:gridCol w:w="109"/>
        <w:gridCol w:w="109"/>
        <w:gridCol w:w="211"/>
        <w:gridCol w:w="751"/>
        <w:gridCol w:w="109"/>
        <w:gridCol w:w="109"/>
        <w:gridCol w:w="109"/>
        <w:gridCol w:w="109"/>
        <w:gridCol w:w="609"/>
        <w:gridCol w:w="609"/>
        <w:gridCol w:w="611"/>
        <w:gridCol w:w="109"/>
        <w:gridCol w:w="109"/>
        <w:gridCol w:w="109"/>
        <w:gridCol w:w="638"/>
        <w:gridCol w:w="638"/>
        <w:gridCol w:w="640"/>
        <w:gridCol w:w="109"/>
        <w:gridCol w:w="109"/>
        <w:gridCol w:w="109"/>
        <w:gridCol w:w="487"/>
        <w:gridCol w:w="468"/>
        <w:gridCol w:w="673"/>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Valuation</w:t>
              <w:b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Range </w:t>
              <w:br/>
              <w:t>(Weighted Average)</w:t>
            </w:r>
          </w:p>
        </w:tc>
      </w:tr>
      <w:tr>
        <w:trPr/>
        <w:tc>
          <w:tcPr>
            <w:tcW w:w="2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Collateral-dependent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Not meaningful</w:t>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Bank premises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 (7%)</w:t>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Foreclosed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 (7%)</w:t>
            </w:r>
          </w:p>
        </w:tc>
      </w:tr>
    </w:tbl>
    <w:tbl>
      <w:tblPr>
        <w:tblW w:w="10205" w:type="dxa"/>
        <w:jc w:val="left"/>
        <w:tblInd w:w="0" w:type="dxa"/>
        <w:tblLayout w:type="fixed"/>
        <w:tblCellMar>
          <w:top w:w="28" w:type="dxa"/>
          <w:left w:w="28" w:type="dxa"/>
          <w:bottom w:w="28" w:type="dxa"/>
          <w:right w:w="28" w:type="dxa"/>
        </w:tblCellMar>
      </w:tblPr>
      <w:tblGrid>
        <w:gridCol w:w="854"/>
        <w:gridCol w:w="748"/>
        <w:gridCol w:w="756"/>
        <w:gridCol w:w="109"/>
        <w:gridCol w:w="109"/>
        <w:gridCol w:w="109"/>
        <w:gridCol w:w="211"/>
        <w:gridCol w:w="751"/>
        <w:gridCol w:w="109"/>
        <w:gridCol w:w="109"/>
        <w:gridCol w:w="109"/>
        <w:gridCol w:w="109"/>
        <w:gridCol w:w="622"/>
        <w:gridCol w:w="622"/>
        <w:gridCol w:w="624"/>
        <w:gridCol w:w="109"/>
        <w:gridCol w:w="109"/>
        <w:gridCol w:w="109"/>
        <w:gridCol w:w="649"/>
        <w:gridCol w:w="649"/>
        <w:gridCol w:w="651"/>
        <w:gridCol w:w="109"/>
        <w:gridCol w:w="109"/>
        <w:gridCol w:w="109"/>
        <w:gridCol w:w="491"/>
        <w:gridCol w:w="476"/>
        <w:gridCol w:w="68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Range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 Average)</w:t>
            </w:r>
          </w:p>
        </w:tc>
      </w:tr>
      <w:tr>
        <w:trPr/>
        <w:tc>
          <w:tcPr>
            <w:tcW w:w="235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Collateral-dependent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23,196 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Not meaningful</w:t>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Foreclosed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 (7%)</w:t>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Other Fair Value Methods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methods and assumptions were used by the Company in estimating fair value disclosures of its other financial instruments.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Cash and Cash Equivalents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carrying amounts of these financial instruments approximate their fair values.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Restricted Stock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carrying amount of FHLB stock approximates fair value based on the redemption provisions of the FHLB.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Loans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estimation process for the loan portfolio uses an exit price concept and reflects discounts the Company believes are consistent with discounts in the marketplace. Fair values are estimated for portfolios of loans with similar characteristics. Loans are segregated by type such as commercial and industrial, agricultural and farmland, commercial real estate – owner occupied, commercial real estate – non-owner occupied, multi-family, construction and land development, one-to-four family residential, and municipal, consumer, and other. The fair value of loans is estimated by discounting the future cash flows using the current rates at which similar loans would be made to borrowers with similar credit ratings and for similar maturities. The fair value analysis also includes other assumptions to estimate fair value, intended to approximate those a market participant would use in an orderly transaction, with adjustments for discount rates, interest rates, liquidity, and credit spreads, as appropriate.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Investments in Unconsolidated Subsidiaries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values of the Company’s investments in unconsolidated subsidiaries are presumed to approximate carrying amounts.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Time Deposits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Fair values of certificates of deposit with stated maturities have been estimated using the present value of estimated future cash flows discounted at rates currently offered for similar instruments. Time deposits also include public funds time deposits.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Securities Sold Under Agreements to Repurchase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values of repurchase agreements with variable interest rates are presumed to approximate their recorded carrying amounts.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FHLB Advances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values of FHLB advances are estimated using discounted cash flow analyses based on current rates offered for borrowings with similar remaining maturities and characteristics.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Subordinated Notes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values of subordinated notes are estimated using discounted cash flow analyses based on rates observed on recent debt issuances by other financial institutions.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Junior Subordinated Debentures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values of subordinated debentures are estimated using discounted cash flow analyses based on rates observed on recent debt issuances by other financial institutions.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Accrued Interest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carrying amounts of accrued interest approximate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provides summary information on the carrying amounts and estimated fair values of the Company’s other financial instruments:</w:t>
      </w:r>
    </w:p>
    <w:tbl>
      <w:tblPr>
        <w:tblW w:w="10205" w:type="dxa"/>
        <w:jc w:val="left"/>
        <w:tblInd w:w="0" w:type="dxa"/>
        <w:tblLayout w:type="fixed"/>
        <w:tblCellMar>
          <w:top w:w="28" w:type="dxa"/>
          <w:left w:w="28" w:type="dxa"/>
          <w:bottom w:w="28" w:type="dxa"/>
          <w:right w:w="28" w:type="dxa"/>
        </w:tblCellMar>
      </w:tblPr>
      <w:tblGrid>
        <w:gridCol w:w="1241"/>
        <w:gridCol w:w="855"/>
        <w:gridCol w:w="853"/>
        <w:gridCol w:w="109"/>
        <w:gridCol w:w="109"/>
        <w:gridCol w:w="109"/>
        <w:gridCol w:w="289"/>
        <w:gridCol w:w="289"/>
        <w:gridCol w:w="291"/>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7"/>
      </w:tblGrid>
      <w:tr>
        <w:trPr/>
        <w:tc>
          <w:tcPr>
            <w:tcW w:w="124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Hierarchy</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4,589,644 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3,379,845 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 in unconsolidated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759,589 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FHLB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Junior subordinated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estimated the fair value of lending related commitments as described in Note 16 to be immaterial based on limited interest rate exposure due to their variable nature, short-term commitment periods, and termination clauses provided in the agreements.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Limitations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Fair value estimates are made at a specific point in time, based on relevant market information and information about the financial instrument. Because no market exists for a significant portion of the Company’s financial instruments, fair value estimates are based on judgments regarding future expected loss experience,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Fair values have been estimated using data which management considered the best available and estimation methodologies deemed suitable for the pertinent category of financial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16 – COMMITMENTS AND CONTINGENCIES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Bank is party to credit-related financial instruments with off-balance sheet risk in the normal course of business to meet the financing needs of its customers. These financial instruments include commitments to extend credit and standby letters of credit. Such instruments involve, to varying degrees, elements of credit and interest rate risk in excess of the amount recognized in the consolidated balance sheets.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Bank’s exposure to credit loss in the event of nonperformance by the other party to the financial instrument for commitments to extend credit and standby letters of credit is represented by the contractual amount of those instruments. The Bank uses the same credit policies in making commitments and conditional obligations as it does for on-balance sheet instruments.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Such commitments and conditional obligations were as follows:</w:t>
      </w:r>
    </w:p>
    <w:tbl>
      <w:tblPr>
        <w:tblW w:w="6032" w:type="dxa"/>
        <w:jc w:val="left"/>
        <w:tblInd w:w="0" w:type="dxa"/>
        <w:tblLayout w:type="fixed"/>
        <w:tblCellMar>
          <w:top w:w="28" w:type="dxa"/>
          <w:left w:w="28" w:type="dxa"/>
          <w:bottom w:w="28" w:type="dxa"/>
          <w:right w:w="28" w:type="dxa"/>
        </w:tblCellMar>
      </w:tblPr>
      <w:tblGrid>
        <w:gridCol w:w="995"/>
        <w:gridCol w:w="873"/>
        <w:gridCol w:w="876"/>
        <w:gridCol w:w="211"/>
        <w:gridCol w:w="1021"/>
        <w:gridCol w:w="109"/>
        <w:gridCol w:w="109"/>
        <w:gridCol w:w="109"/>
        <w:gridCol w:w="109"/>
        <w:gridCol w:w="280"/>
        <w:gridCol w:w="1136"/>
        <w:gridCol w:w="20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Contractual Amount</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to extend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855,014 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Standby letters of credit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Bank evaluates each customer’s credit worthiness on a case-by-case basis. The amount of collateral obtained, if deemed necessary, by the Bank upon extension of credit is based on management’s credit evaluation of the customer. Collateral held varies, but may include real estate, accounts receivable, inventory, equipment, and income-producing properties.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Standby letters of credit are conditional commitments issued by the Bank to guarantee the performance of a customer to a third party. Those standby letters of credit are primarily issued to support extensions of credit. The credit risk involved in issuing standby letters of credit is essentially the same as that involved in extending loans to customers. The Bank secures the standby letters of credit with the same collateral used to secure the related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br/>
        <w:t>(Unaudited)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Allowance for Credit Losses on Unfunded Lending-related Commitments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$5.9 million and $4.1 million as of March 31, 2026 and December 31, 2025, respectively. The following table sets forth the provision for credit losses on unfunded lending-related commitments for the periods indicated:</w:t>
      </w:r>
    </w:p>
    <w:tbl>
      <w:tblPr>
        <w:tblW w:w="9321" w:type="dxa"/>
        <w:jc w:val="left"/>
        <w:tblInd w:w="0" w:type="dxa"/>
        <w:tblLayout w:type="fixed"/>
        <w:tblCellMar>
          <w:top w:w="28" w:type="dxa"/>
          <w:left w:w="28" w:type="dxa"/>
          <w:bottom w:w="28" w:type="dxa"/>
          <w:right w:w="28" w:type="dxa"/>
        </w:tblCellMar>
      </w:tblPr>
      <w:tblGrid>
        <w:gridCol w:w="2202"/>
        <w:gridCol w:w="1933"/>
        <w:gridCol w:w="1940"/>
        <w:gridCol w:w="283"/>
        <w:gridCol w:w="283"/>
        <w:gridCol w:w="283"/>
        <w:gridCol w:w="283"/>
        <w:gridCol w:w="283"/>
        <w:gridCol w:w="283"/>
        <w:gridCol w:w="283"/>
        <w:gridCol w:w="283"/>
        <w:gridCol w:w="283"/>
        <w:gridCol w:w="109"/>
        <w:gridCol w:w="109"/>
        <w:gridCol w:w="109"/>
        <w:gridCol w:w="109"/>
        <w:gridCol w:w="109"/>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credit losses on unfunded lending-related commitments</w:t>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Legal Contingencies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Various legal claims arise from time to time in the normal course of business which, in the opinion of management, will have no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Unless the context requires otherwise, references in this report to the “Company,” “we,” “us” and “our” refer to HBT Financial, Inc. and its subsidiaries.</w:t>
      </w:r>
    </w:p>
    <w:p>
      <w:pPr>
        <w:pStyle w:val="TextBody"/>
        <w:bidi w:val="0"/>
        <w:spacing w:lineRule="auto" w:line="288" w:before="240" w:after="283"/>
        <w:jc w:val="both"/>
        <w:rPr/>
      </w:pPr>
      <w:r>
        <w:rPr>
          <w:rFonts w:ascii="Arial;sans-serif" w:hAnsi="Arial;sans-serif"/>
          <w:b w:val="false"/>
          <w:i/>
          <w:color w:val="000000"/>
          <w:sz w:val="20"/>
        </w:rPr>
        <w:t>The following is management’s discussion and analysis of the financial condition as of March 31, 2026 (unaudited), as compared with December 31, 2025, and the results of operations for the three months ended March 31, 2026 and 2025 (unaudited). Management’s discussion and analysis should be read in conjunction with the Company’s unaudited consolidated financial statements and notes thereto appearing elsewhere in this Quarterly Report on Form 10-Q, as well as the Company’s audited consolidated financial statements included in the Company’s Annual Report on Form 10-K for the year ended December 31, 2025, filed with the SEC on March 6, 2026. Results of operations for the three months ended March 31, 2026 and 2025 are not necessarily indicative of results to be attained for the year ended December 31, 2026</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or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HBT Financial, Inc., headquartered in Bloomington, Illinois, is the holding company for Heartland Bank and Trust Company, and has banking roots that can be traced back to 1920. We provide a comprehensive suite of financial products and services to consumers, businesses, and municipal entities throughout Illinois, eastern Iowa, and suburban St. Louis. As of March 31, 2026, the Company had total assets of $6.8 billion, loans held for investment of $4.7 billion, and total deposits of $5.8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Area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our branch network included 83 full-service branch locations throughout Illinois, eastern Iowa, and suburban St. Louis. We hold a leading deposit share in many of our central Illinois markets, which we define as a top three deposit share rank, providing the foundation for our strong deposit base. The stability provided by this low-cost funding is a key driver of our strong track record of financial performance. Below is a summary of our loan and deposit balances by geographic region:</w:t>
      </w:r>
    </w:p>
    <w:tbl>
      <w:tblPr>
        <w:tblW w:w="7904" w:type="dxa"/>
        <w:jc w:val="left"/>
        <w:tblInd w:w="0" w:type="dxa"/>
        <w:tblLayout w:type="fixed"/>
        <w:tblCellMar>
          <w:top w:w="28" w:type="dxa"/>
          <w:left w:w="28" w:type="dxa"/>
          <w:bottom w:w="28" w:type="dxa"/>
          <w:right w:w="28" w:type="dxa"/>
        </w:tblCellMar>
      </w:tblPr>
      <w:tblGrid>
        <w:gridCol w:w="614"/>
        <w:gridCol w:w="539"/>
        <w:gridCol w:w="54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Deposits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Central Illinois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2,898,046 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Chicago MSA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Suburban St. Louis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Iowa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4,686,951 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3,456,209 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4,359,263 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CNB Acquisition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March 1, 2026, HBT Financial completed its acquisition of CNB, the holding company for CNB Bank. The acquisition of CNB further enhanced HBT Financial's footprint in the central Illinois, Chicago MSA, and suburban St. Louis markets. Prior to the acquisition, CNB operated 18 full-service branch locations which now operate as branches of Heartland Bank. The core system conversion was successfully completed in March 2026. After considering business combination accounting adjustments, CNB added total assets of $1.81 billion, total loans held for investment of $1.30 billion, and total deposits of $1.52 billion.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consideration consisted of 5.5 million shares of HBT Financial’s common stock and $33.8 million in cash. Based on the closing price of HBT Financial common stock of $26.96 on February 27, 2026, the aggregate consideration was approximately $182.1 million. Goodwill of $23.7 million was recorded in the acquisition. Acquisition-related expenses totaled $15.7 million during the three months ended March 31, 2026. There were no acquisition-related expenses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 of Recent Financial Results</w:t>
      </w:r>
    </w:p>
    <w:tbl>
      <w:tblPr>
        <w:tblW w:w="7914" w:type="dxa"/>
        <w:jc w:val="left"/>
        <w:tblInd w:w="0" w:type="dxa"/>
        <w:tblLayout w:type="fixed"/>
        <w:tblCellMar>
          <w:top w:w="28" w:type="dxa"/>
          <w:left w:w="28" w:type="dxa"/>
          <w:bottom w:w="28" w:type="dxa"/>
          <w:right w:w="28" w:type="dxa"/>
        </w:tblCellMar>
      </w:tblPr>
      <w:tblGrid>
        <w:gridCol w:w="1569"/>
        <w:gridCol w:w="1378"/>
        <w:gridCol w:w="1387"/>
        <w:gridCol w:w="223"/>
        <w:gridCol w:w="738"/>
        <w:gridCol w:w="316"/>
        <w:gridCol w:w="109"/>
        <w:gridCol w:w="109"/>
        <w:gridCol w:w="109"/>
        <w:gridCol w:w="223"/>
        <w:gridCol w:w="738"/>
        <w:gridCol w:w="316"/>
        <w:gridCol w:w="109"/>
        <w:gridCol w:w="109"/>
        <w:gridCol w:w="109"/>
        <w:gridCol w:w="109"/>
        <w:gridCol w:w="109"/>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interest and dividend income</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63,138 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interest income after provision for credit losses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56,543 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noninterest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25,503 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net income </w:t>
            </w:r>
            <w:r>
              <w:rPr>
                <w:rFonts w:ascii="Arial;sans-serif" w:hAnsi="Arial;sans-serif"/>
                <w:b w:val="false"/>
                <w:color w:val="000000"/>
                <w:sz w:val="10"/>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Pre-provision net revenue </w:t>
            </w:r>
            <w:r>
              <w:rPr>
                <w:rFonts w:ascii="Arial;sans-serif" w:hAnsi="Arial;sans-serif"/>
                <w:b w:val="false"/>
                <w:color w:val="000000"/>
                <w:sz w:val="10"/>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Pre-provision net revenue less net charge-offs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pre-provision net revenue </w:t>
            </w:r>
            <w:r>
              <w:rPr>
                <w:rFonts w:ascii="Arial;sans-serif" w:hAnsi="Arial;sans-serif"/>
                <w:b w:val="false"/>
                <w:color w:val="000000"/>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pre-provision net revenue less net charge-offs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Share and Per Share Information</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earnings per share - diluted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33,180,009 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31,584,989 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Ratios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interest margin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Net interest margin (tax-equivalent basis) * </w:t>
            </w:r>
            <w:r>
              <w:rPr>
                <w:rFonts w:ascii="Arial;sans-serif" w:hAnsi="Arial;sans-serif"/>
                <w:b w:val="false"/>
                <w:color w:val="000000"/>
                <w:sz w:val="10"/>
              </w:rPr>
              <w:t>(1)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Yield on loans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Yield on interest-earning assets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total deposits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funds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Efficiency ratio</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53.85 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Efficiency ratio (tax-equivalent basis) </w:t>
            </w:r>
            <w:r>
              <w:rPr>
                <w:rFonts w:ascii="Arial;sans-serif" w:hAnsi="Arial;sans-serif"/>
                <w:b w:val="false"/>
                <w:color w:val="000000"/>
                <w:sz w:val="10"/>
              </w:rPr>
              <w:t>(1)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efficiency ratio (tax-equivalent basis) </w:t>
            </w:r>
            <w:r>
              <w:rPr>
                <w:rFonts w:ascii="Arial;sans-serif" w:hAnsi="Arial;sans-serif"/>
                <w:b w:val="false"/>
                <w:color w:val="000000"/>
                <w:sz w:val="10"/>
              </w:rPr>
              <w:t>(1)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Return on average assets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Return on average stockholders' equity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Return on average tangible common equity *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return on average assets *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return on average stockholders' equity * </w:t>
            </w:r>
            <w:r>
              <w:rPr>
                <w:rFonts w:ascii="Arial;sans-serif" w:hAnsi="Arial;sans-serif"/>
                <w:b w:val="false"/>
                <w:color w:val="000000"/>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Adjusted return on average tangible common equity * </w:t>
            </w:r>
            <w:r>
              <w:rPr>
                <w:rFonts w:ascii="Arial;sans-serif" w:hAnsi="Arial;sans-serif"/>
                <w:b w:val="false"/>
                <w:color w:val="000000"/>
                <w:sz w:val="10"/>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(1)See "Non-GAAP Financial Information" for reconciliation of non-GAAP measures to their most closely comparable GAAP measures.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(2)On a tax-equivalent basis assuming a federal income tax rate of 21% and a state income tax rate of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Comparison of the Three Months Ended March 31, 2026 to the Three Months Ended March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three months ended March 31, 2026, net income was $11.2 million, decreasing by $7.9 million, or 41.3%, when compared to net income for the three months ended March 31, 2025, primarily as a result of acquisition-related expenses. Notable changes include the following: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$7.7 million increase in net interest income, primarily attributable to higher average interest-earning asset balances following the CNB merger, improved yields on debt securities, and lower funding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CNB acquisition-related expenses totaled $15.7 million during the three months ended March 31,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Excluding CNB acquisition-related expenses, noninterest expense increased by $4.8 million, primarily reflecting higher base costs following the CNB merger, including a $2.6 million increase in employee salaries and benefits expense;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$0.9 million increase in wealth management fees, primarily driven by an increase in assets under management following the CNB merger;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$0.2 million positive mortgage servicing rights ("MSR") fair value adjustment included in the 2026 results, compared to a $0.3 million negative MSR fair value adjustment included in the 2025 results;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$2.6 million decrease in income tax expense, primarily due to a decrease in pre-tax income as a result of CNB acquisition-related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Net Interest Income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Net interest income equals the excess of interest income on interest earning assets (including discount accretion on acquired loans plus certain loan fees) over interest expense incurred on interest-bearing liabilities. Net interest margin, which is expressed as the percentage of net interest income to average interest-earning assets, is utilized to measure and explain changes in net interest income.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average balances, average yields and costs, and certain other information. Average balances are daily average balances. Nonaccrual loans are included in the computation of average balances but have been reflected in the table as loans carrying a zero yield. The yields set forth below include the effect of deferred fees and costs as well as purchase accounting adjustments that are accreted or amortized to interest income or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tbl>
      <w:tblPr>
        <w:tblW w:w="9819" w:type="dxa"/>
        <w:jc w:val="left"/>
        <w:tblInd w:w="0" w:type="dxa"/>
        <w:tblLayout w:type="fixed"/>
        <w:tblCellMar>
          <w:top w:w="28" w:type="dxa"/>
          <w:left w:w="28" w:type="dxa"/>
          <w:bottom w:w="28" w:type="dxa"/>
          <w:right w:w="28" w:type="dxa"/>
        </w:tblCellMar>
      </w:tblPr>
      <w:tblGrid>
        <w:gridCol w:w="1129"/>
        <w:gridCol w:w="994"/>
        <w:gridCol w:w="997"/>
        <w:gridCol w:w="190"/>
        <w:gridCol w:w="705"/>
        <w:gridCol w:w="124"/>
        <w:gridCol w:w="109"/>
        <w:gridCol w:w="109"/>
        <w:gridCol w:w="109"/>
        <w:gridCol w:w="166"/>
        <w:gridCol w:w="466"/>
        <w:gridCol w:w="109"/>
        <w:gridCol w:w="109"/>
        <w:gridCol w:w="109"/>
        <w:gridCol w:w="109"/>
        <w:gridCol w:w="190"/>
        <w:gridCol w:w="190"/>
        <w:gridCol w:w="369"/>
        <w:gridCol w:w="109"/>
        <w:gridCol w:w="109"/>
        <w:gridCol w:w="109"/>
        <w:gridCol w:w="190"/>
        <w:gridCol w:w="705"/>
        <w:gridCol w:w="124"/>
        <w:gridCol w:w="109"/>
        <w:gridCol w:w="109"/>
        <w:gridCol w:w="109"/>
        <w:gridCol w:w="166"/>
        <w:gridCol w:w="466"/>
        <w:gridCol w:w="109"/>
        <w:gridCol w:w="109"/>
        <w:gridCol w:w="109"/>
        <w:gridCol w:w="109"/>
        <w:gridCol w:w="183"/>
        <w:gridCol w:w="183"/>
        <w:gridCol w:w="429"/>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Three Months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March 31,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2"/>
              </w:rPr>
            </w:pPr>
            <w:r>
              <w:rPr>
                <w:rFonts w:ascii="Arial;sans-serif" w:hAnsi="Arial;sans-serif"/>
                <w:b w:val="false"/>
                <w:i/>
                <w:color w:val="000000"/>
                <w:sz w:val="12"/>
              </w:rPr>
              <w:t>(dollars in thousands)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Yield/Cost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Yield/Cost *</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ASSETS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3,890,388 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6.28 </w:t>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3,460,906 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6.39 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Debt securities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1,375,875 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1,204,424 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Deposits with banks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163,761 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120,014 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14,389 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4.60 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12,677 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interest-earning assets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5,444,413 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5.35 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4,798,021 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63,138 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5.34 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Allowance for credit losses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(48,362)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(42,061)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Noninterest-earning assets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317,393 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276,853 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Total assets</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5,713,444 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5,032,813 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LIABILITIES AND STOCKHOLDERS' EQUITY</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Liabilities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Interest-bearing demand</w:t>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1,223,982 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0.64 </w:t>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1,120,608 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0.53 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Money market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906,663 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807,728 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Savings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671,852 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0.43 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569,494 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0.26 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Time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940,019 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784,099 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interest-bearing deposits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3,742,516 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1.53 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3,281,929 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1.60 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Securities sold under agreements to repurchase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8,754 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28,886 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12,890 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Subordinated notes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19,781 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39,563 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4.82 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Junior subordinated debentures issued to capital trusts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52,916 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6.44 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52,856 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interest-bearing liabilities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3,847,001 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3,395,992 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1.72 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Noninterest-bearing deposits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1,150,594 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1,045,733 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Noninterest-bearing liabilities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45,282 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36,373 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Total liabilities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5,042,877 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4,478,098 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Stockholders' Equity</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670,567 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554,715 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5,713,444 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5,032,813 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 xml:space="preserve">Net interest income/Net interest margin </w:t>
            </w:r>
            <w:r>
              <w:rPr>
                <w:rFonts w:ascii="Arial;sans-serif" w:hAnsi="Arial;sans-serif"/>
                <w:b w:val="false"/>
                <w:color w:val="000000"/>
                <w:sz w:val="8"/>
              </w:rPr>
              <w:t>(1)</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4.12 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 xml:space="preserve">Tax-equivalent adjustment </w:t>
            </w:r>
            <w:r>
              <w:rPr>
                <w:rFonts w:ascii="Arial;sans-serif" w:hAnsi="Arial;sans-serif"/>
                <w:b w:val="false"/>
                <w:color w:val="000000"/>
                <w:sz w:val="8"/>
              </w:rPr>
              <w:t>(2)</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0.04 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Net interest income (tax-equivalent basis)/</w:t>
            </w:r>
          </w:p>
          <w:p>
            <w:pPr>
              <w:pStyle w:val="TableContents"/>
              <w:bidi w:val="0"/>
              <w:spacing w:lineRule="auto" w:line="288" w:before="0" w:after="0"/>
              <w:jc w:val="left"/>
              <w:rPr/>
            </w:pPr>
            <w:r>
              <w:rPr>
                <w:rFonts w:ascii="Arial;sans-serif" w:hAnsi="Arial;sans-serif"/>
                <w:b w:val="false"/>
                <w:color w:val="000000"/>
                <w:sz w:val="12"/>
              </w:rPr>
              <w:t xml:space="preserve">Net interest margin (tax-equivalent basis) </w:t>
            </w:r>
            <w:r>
              <w:rPr>
                <w:rFonts w:ascii="Arial;sans-serif" w:hAnsi="Arial;sans-serif"/>
                <w:b w:val="false"/>
                <w:color w:val="000000"/>
                <w:sz w:val="8"/>
              </w:rPr>
              <w:t>(2) (3)</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4.25 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4.16 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 xml:space="preserve">Net interest rate spread </w:t>
            </w:r>
            <w:r>
              <w:rPr>
                <w:rFonts w:ascii="Arial;sans-serif" w:hAnsi="Arial;sans-serif"/>
                <w:b w:val="false"/>
                <w:color w:val="000000"/>
                <w:sz w:val="8"/>
              </w:rPr>
              <w:t>(4)</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3.72 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3.62 </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 xml:space="preserve">Net interest-earning assets </w:t>
            </w:r>
            <w:r>
              <w:rPr>
                <w:rFonts w:ascii="Arial;sans-serif" w:hAnsi="Arial;sans-serif"/>
                <w:b w:val="false"/>
                <w:color w:val="000000"/>
                <w:sz w:val="8"/>
              </w:rPr>
              <w:t>(5)</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1,597,412 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1,402,029 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Ratio of interest-earning assets to interest-bearing liabilities</w:t>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Cost of total deposits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1.17 </w:t>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1.21 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Cost of funds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(1)Net interest margin represents net interest income divided by average total interest-earning assets.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(2)On a tax-equivalent basis assuming a federal income tax rate of 21% and a state income tax rate of 9.5%.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(3)See "Non-GAAP Financial Information" for reconciliation of non-GAAP measures to their most closely comparable GAAP measures.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(4)Net interest rate spread represents the difference between the yield on average interest-earning assets and the cost of average interest-bearing liabilities.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(5)Net interest-earning assets represents total interest-earning assets less total interest-bearing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components of loan interest income and their contributions to the total loan yield.</w:t>
      </w:r>
    </w:p>
    <w:tbl>
      <w:tblPr>
        <w:tblW w:w="9455" w:type="dxa"/>
        <w:jc w:val="left"/>
        <w:tblInd w:w="0" w:type="dxa"/>
        <w:tblLayout w:type="fixed"/>
        <w:tblCellMar>
          <w:top w:w="28" w:type="dxa"/>
          <w:left w:w="28" w:type="dxa"/>
          <w:bottom w:w="28" w:type="dxa"/>
          <w:right w:w="28" w:type="dxa"/>
        </w:tblCellMar>
      </w:tblPr>
      <w:tblGrid>
        <w:gridCol w:w="1000"/>
        <w:gridCol w:w="878"/>
        <w:gridCol w:w="881"/>
        <w:gridCol w:w="196"/>
        <w:gridCol w:w="646"/>
        <w:gridCol w:w="109"/>
        <w:gridCol w:w="109"/>
        <w:gridCol w:w="109"/>
        <w:gridCol w:w="109"/>
        <w:gridCol w:w="282"/>
        <w:gridCol w:w="282"/>
        <w:gridCol w:w="666"/>
        <w:gridCol w:w="109"/>
        <w:gridCol w:w="109"/>
        <w:gridCol w:w="109"/>
        <w:gridCol w:w="196"/>
        <w:gridCol w:w="646"/>
        <w:gridCol w:w="109"/>
        <w:gridCol w:w="109"/>
        <w:gridCol w:w="109"/>
        <w:gridCol w:w="109"/>
        <w:gridCol w:w="282"/>
        <w:gridCol w:w="282"/>
        <w:gridCol w:w="666"/>
        <w:gridCol w:w="109"/>
        <w:gridCol w:w="109"/>
        <w:gridCol w:w="109"/>
        <w:gridCol w:w="109"/>
        <w:gridCol w:w="109"/>
        <w:gridCol w:w="109"/>
        <w:gridCol w:w="109"/>
        <w:gridCol w:w="109"/>
        <w:gridCol w:w="109"/>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Yield </w:t>
              <w:br/>
              <w:t>Contribution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Yield </w:t>
              <w:br/>
              <w:t>Contribution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Contractual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Accretion of acquired loan discounts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Nonaccrual interest recoveries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loan interest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components of net interest income and their contributions to the net interest margin.</w:t>
      </w:r>
    </w:p>
    <w:tbl>
      <w:tblPr>
        <w:tblW w:w="10205" w:type="dxa"/>
        <w:jc w:val="left"/>
        <w:tblInd w:w="0" w:type="dxa"/>
        <w:tblLayout w:type="fixed"/>
        <w:tblCellMar>
          <w:top w:w="28" w:type="dxa"/>
          <w:left w:w="28" w:type="dxa"/>
          <w:bottom w:w="28" w:type="dxa"/>
          <w:right w:w="28" w:type="dxa"/>
        </w:tblCellMar>
      </w:tblPr>
      <w:tblGrid>
        <w:gridCol w:w="974"/>
        <w:gridCol w:w="624"/>
        <w:gridCol w:w="626"/>
        <w:gridCol w:w="196"/>
        <w:gridCol w:w="646"/>
        <w:gridCol w:w="109"/>
        <w:gridCol w:w="109"/>
        <w:gridCol w:w="109"/>
        <w:gridCol w:w="109"/>
        <w:gridCol w:w="428"/>
        <w:gridCol w:w="428"/>
        <w:gridCol w:w="1013"/>
        <w:gridCol w:w="109"/>
        <w:gridCol w:w="109"/>
        <w:gridCol w:w="109"/>
        <w:gridCol w:w="196"/>
        <w:gridCol w:w="646"/>
        <w:gridCol w:w="109"/>
        <w:gridCol w:w="109"/>
        <w:gridCol w:w="109"/>
        <w:gridCol w:w="109"/>
        <w:gridCol w:w="428"/>
        <w:gridCol w:w="428"/>
        <w:gridCol w:w="1013"/>
        <w:gridCol w:w="109"/>
        <w:gridCol w:w="109"/>
        <w:gridCol w:w="109"/>
        <w:gridCol w:w="109"/>
        <w:gridCol w:w="109"/>
        <w:gridCol w:w="109"/>
        <w:gridCol w:w="109"/>
        <w:gridCol w:w="109"/>
        <w:gridCol w:w="109"/>
        <w:gridCol w:w="109"/>
        <w:gridCol w:w="109"/>
        <w:gridCol w:w="161"/>
      </w:tblGrid>
      <w:tr>
        <w:trPr/>
        <w:tc>
          <w:tcPr>
            <w:tcW w:w="97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10"/>
            <w:tcBorders/>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Interest Margin Contribution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Interest Margin Contribution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Contractual interest on loans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Accretion of acquired loan discounts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Nonaccrual interest recoveries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deposits in bank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interest-bearing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interest expense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Tax-equivalent adjustment </w:t>
            </w:r>
            <w:r>
              <w:rPr>
                <w:rFonts w:ascii="Arial;sans-serif" w:hAnsi="Arial;sans-serif"/>
                <w:b w:val="false"/>
                <w:color w:val="000000"/>
                <w:sz w:val="10"/>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 xml:space="preserve">Net interest income (tax-equivalent) </w:t>
            </w:r>
            <w:r>
              <w:rPr>
                <w:rFonts w:ascii="Arial;sans-serif" w:hAnsi="Arial;sans-serif"/>
                <w:b/>
                <w:color w:val="000000"/>
                <w:sz w:val="10"/>
              </w:rPr>
              <w:t>(1) (2)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(1)On a tax-equivalent basis assuming a federal income tax rate of 21% and a state income tax rate of 9.5%.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(2)See "Non-GAAP Financial Information" for reconciliation of non-GAAP measures to their most closely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Rate/Volume Analysis</w:t>
      </w:r>
    </w:p>
    <w:p>
      <w:pPr>
        <w:pStyle w:val="TextBody"/>
        <w:bidi w:val="0"/>
        <w:spacing w:lineRule="auto" w:line="288" w:before="240" w:after="283"/>
        <w:jc w:val="both"/>
        <w:rPr/>
      </w:pPr>
      <w:r>
        <w:rPr>
          <w:rFonts w:ascii="Arial;sans-serif" w:hAnsi="Arial;sans-serif"/>
          <w:b w:val="false"/>
          <w:color w:val="000000"/>
          <w:sz w:val="20"/>
        </w:rPr>
        <w:t>The following table sets forth the dollar amount of changes in interest income and interest expense for the major categories of our interest-earning assets and interest-bearing liabilities. Information is provided for each category of interest-earning assets and interest-bearing liabilities with respect to changes attributable to volume (</w:t>
      </w:r>
      <w:r>
        <w:rPr>
          <w:rFonts w:ascii="Arial;sans-serif" w:hAnsi="Arial;sans-serif"/>
          <w:b w:val="false"/>
          <w:i/>
          <w:color w:val="000000"/>
          <w:sz w:val="20"/>
        </w:rPr>
        <w:t>i.e.</w:t>
      </w:r>
      <w:r>
        <w:rPr>
          <w:rFonts w:ascii="Arial;sans-serif" w:hAnsi="Arial;sans-serif"/>
          <w:b w:val="false"/>
          <w:color w:val="000000"/>
          <w:sz w:val="20"/>
        </w:rPr>
        <w:t>, changes in average balances multiplied by the prior-period average rate), and changes attributable to rate (</w:t>
      </w:r>
      <w:r>
        <w:rPr>
          <w:rFonts w:ascii="Arial;sans-serif" w:hAnsi="Arial;sans-serif"/>
          <w:b w:val="false"/>
          <w:i/>
          <w:color w:val="000000"/>
          <w:sz w:val="20"/>
        </w:rPr>
        <w:t>i.e.</w:t>
      </w:r>
      <w:r>
        <w:rPr>
          <w:rFonts w:ascii="Arial;sans-serif" w:hAnsi="Arial;sans-serif"/>
          <w:b w:val="false"/>
          <w:color w:val="000000"/>
          <w:sz w:val="20"/>
        </w:rPr>
        <w:t>, changes in average rate multiplied by prior-period average balances). For purposes of this table, changes attributable to both volume and rate that cannot be segregated have been allocated proportionately to the change due to volume and the change due to rate.</w:t>
      </w:r>
    </w:p>
    <w:tbl>
      <w:tblPr>
        <w:tblW w:w="8775" w:type="dxa"/>
        <w:jc w:val="left"/>
        <w:tblInd w:w="0" w:type="dxa"/>
        <w:tblLayout w:type="fixed"/>
        <w:tblCellMar>
          <w:top w:w="28" w:type="dxa"/>
          <w:left w:w="28" w:type="dxa"/>
          <w:bottom w:w="28" w:type="dxa"/>
          <w:right w:w="28" w:type="dxa"/>
        </w:tblCellMar>
      </w:tblPr>
      <w:tblGrid>
        <w:gridCol w:w="1487"/>
        <w:gridCol w:w="1309"/>
        <w:gridCol w:w="1314"/>
        <w:gridCol w:w="196"/>
        <w:gridCol w:w="556"/>
        <w:gridCol w:w="109"/>
        <w:gridCol w:w="109"/>
        <w:gridCol w:w="109"/>
        <w:gridCol w:w="109"/>
        <w:gridCol w:w="196"/>
        <w:gridCol w:w="631"/>
        <w:gridCol w:w="109"/>
        <w:gridCol w:w="109"/>
        <w:gridCol w:w="109"/>
        <w:gridCol w:w="109"/>
        <w:gridCol w:w="196"/>
        <w:gridCol w:w="556"/>
        <w:gridCol w:w="109"/>
        <w:gridCol w:w="109"/>
        <w:gridCol w:w="109"/>
        <w:gridCol w:w="109"/>
        <w:gridCol w:w="109"/>
        <w:gridCol w:w="109"/>
        <w:gridCol w:w="109"/>
        <w:gridCol w:w="109"/>
        <w:gridCol w:w="109"/>
        <w:gridCol w:w="109"/>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Three Months Ended March 31, 2026</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vs.</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Increase (Decrease) Due 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Interest-earning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Deposits with banks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interest-earning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Interest-bearing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Interest-bearing demand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sold under agreements to repurchase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Subordinated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Junior subordinated debentures issued to capital trusts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Change in net interest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Comparison of the Three Months Ended March 31, 2026 to the Three Months Ended March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interest income for the three months ended March 31, 2026 was $56.4 million, increasing $7.7 million, or 15.8%, when compared to the three months ended March 31, 2025. The increase is primarily attributable to higher average interest-earning asset balances following the CNB merger, improved yields on debt securities, and lower funding costs. Additionally, a $0.4 million decrease in nonaccrual interest recoveries was mostly offset by a $0.3 million increase in loan fees.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interest margin increased to 4.20% for the three months ended March 31, 2026, compared to 4.12% for the three months ended March 31, 2025. The increase was primarily attributable to improved yields on debt securities and lower funding costs. Additionally, a 3 basis point decrease in the contribution of nonaccrual interest recoveries was mostly offset by a 1 basis point increase in the contribution of loan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quarterly net interest margins were as follows:</w:t>
      </w:r>
    </w:p>
    <w:tbl>
      <w:tblPr>
        <w:tblW w:w="4343" w:type="dxa"/>
        <w:jc w:val="left"/>
        <w:tblInd w:w="0" w:type="dxa"/>
        <w:tblLayout w:type="fixed"/>
        <w:tblCellMar>
          <w:top w:w="28" w:type="dxa"/>
          <w:left w:w="28" w:type="dxa"/>
          <w:bottom w:w="28" w:type="dxa"/>
          <w:right w:w="28" w:type="dxa"/>
        </w:tblCellMar>
      </w:tblPr>
      <w:tblGrid>
        <w:gridCol w:w="760"/>
        <w:gridCol w:w="668"/>
        <w:gridCol w:w="671"/>
        <w:gridCol w:w="270"/>
        <w:gridCol w:w="271"/>
        <w:gridCol w:w="286"/>
        <w:gridCol w:w="109"/>
        <w:gridCol w:w="109"/>
        <w:gridCol w:w="109"/>
        <w:gridCol w:w="270"/>
        <w:gridCol w:w="271"/>
        <w:gridCol w:w="286"/>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Three months ended:</w:t>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30</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December 31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September 2025 to December 2025, the Federal Open Market Committee ("FOMC") lowered the target range for the federal funds rate with three 25 basis point reductions, setting a target range of 3.50% to 3.75% by the end of 2025. These reductions contributed to a decrease in funding costs and yields on variable rate loans while maturing fixed rate loans and securities continued to reprice at higher rates, resulting in a fairly stable net interest margin throughout 2025. Our net interest margin increased in the first quarter of 2026 driven primarily by higher asset yields and the sale of the vast majority of the CNB securities portfolio, with the proceeds used to pay off higher cost sources of funding and purchase higher yield debt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Decreases in market interest rates, and potential future decreases, may put downward pressure on our net interest margin, as the negative impact on floating rate loans may not be fully offset by the positive impacts of maturing fixed rate loans and securities repricing at higher rates or potential decreases in deposit costs. Generally, we expect increases in market interest rates will increase our net interest income and net interest margin in future periods, while decreases in market interest rates may decrease our net interest income and net interest margin in future periods; however, this depends upon the timing and extent of both short-term and long-term interest rate fluctuations and may not always be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Provision for Credit Losses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components of provision for credit losses for the periods indicated:</w:t>
      </w:r>
    </w:p>
    <w:tbl>
      <w:tblPr>
        <w:tblW w:w="6588" w:type="dxa"/>
        <w:jc w:val="left"/>
        <w:tblInd w:w="0" w:type="dxa"/>
        <w:tblLayout w:type="fixed"/>
        <w:tblCellMar>
          <w:top w:w="28" w:type="dxa"/>
          <w:left w:w="28" w:type="dxa"/>
          <w:bottom w:w="28" w:type="dxa"/>
          <w:right w:w="28" w:type="dxa"/>
        </w:tblCellMar>
      </w:tblPr>
      <w:tblGrid>
        <w:gridCol w:w="1212"/>
        <w:gridCol w:w="1064"/>
        <w:gridCol w:w="1068"/>
        <w:gridCol w:w="272"/>
        <w:gridCol w:w="699"/>
        <w:gridCol w:w="140"/>
        <w:gridCol w:w="140"/>
        <w:gridCol w:w="140"/>
        <w:gridCol w:w="140"/>
        <w:gridCol w:w="272"/>
        <w:gridCol w:w="602"/>
        <w:gridCol w:w="140"/>
        <w:gridCol w:w="109"/>
        <w:gridCol w:w="109"/>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PROVISION FOR CREDIT LOSSES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Unfunded lending-related commitments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provision for credit losses</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Comparison of the Three Months Ended March 31, 2026 to the Three Months Ended March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recorded a negative provision for credit losses of $0.2 million for the three months ended March 31, 2026, compared to a $0.6 million provision during the three months ended March 31, 2025. The 2026 provision for credit losses primarily reflects a $0.3 million decrease in specific reserves, partially offset by changes within the loan portfolio.</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provision for credit losses is highly dependent on current and forecast economic conditions. Potential deterioration of economic conditions may lead to higher credit losses and adversely impact our financial condition and results of operations. The economic forecasts utilized in estimating the allowance for credit losses on loans and unfunded lending-related commitments include the unemployment rate and changes in GDP as macroeconomic variables, although other economic metrics and trends are considered on a qualitative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Noninterest Income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major categories of noninterest income for the periods indicated:</w:t>
      </w:r>
    </w:p>
    <w:tbl>
      <w:tblPr>
        <w:tblW w:w="10205" w:type="dxa"/>
        <w:jc w:val="left"/>
        <w:tblInd w:w="0" w:type="dxa"/>
        <w:tblLayout w:type="fixed"/>
        <w:tblCellMar>
          <w:top w:w="28" w:type="dxa"/>
          <w:left w:w="28" w:type="dxa"/>
          <w:bottom w:w="28" w:type="dxa"/>
          <w:right w:w="28" w:type="dxa"/>
        </w:tblCellMar>
      </w:tblPr>
      <w:tblGrid>
        <w:gridCol w:w="1247"/>
        <w:gridCol w:w="1090"/>
        <w:gridCol w:w="105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508"/>
        <w:gridCol w:w="109"/>
        <w:gridCol w:w="109"/>
        <w:gridCol w:w="109"/>
        <w:gridCol w:w="109"/>
        <w:gridCol w:w="109"/>
        <w:gridCol w:w="109"/>
        <w:gridCol w:w="109"/>
        <w:gridCol w:w="109"/>
        <w:gridCol w:w="109"/>
        <w:gridCol w:w="109"/>
        <w:gridCol w:w="109"/>
        <w:gridCol w:w="109"/>
        <w:gridCol w:w="109"/>
        <w:gridCol w:w="109"/>
        <w:gridCol w:w="109"/>
        <w:gridCol w:w="156"/>
      </w:tblGrid>
      <w:tr>
        <w:trPr/>
        <w:tc>
          <w:tcPr>
            <w:tcW w:w="124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gridSpan w:val="12"/>
            <w:tcBorders/>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Card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Wealth management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 servicing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 servicing rights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on sale of 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gains (losses) on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(losses) on foreclosed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(losses) on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on bank 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Comparison of the Three Months Ended March 31, 2026 to the Three Months Ended March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noninterest income for the three months ended March 31, 2026, was $10.9 million, an increase of $1.6 million, or 17.6%, from the three months ended March 31, 2025. Notable changes in noninterest income include the following: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$0.9 million increase in wealth management fees, primarily driven by higher values of assets under management and an increase in assets under management following the CNB merger;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$0.2 million positive MSR fair value adjustment included in the 2026 results, compared to a $0.3 million negative MSR fair value adjustment included in the 2025 results;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$0.2 million impairment loss on bank premises related to the relocation of a branch was recognized in the 2026 results which is absent from the 2025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major categories of noninterest expense for the periods indicated:</w:t>
      </w:r>
    </w:p>
    <w:tbl>
      <w:tblPr>
        <w:tblW w:w="9956" w:type="dxa"/>
        <w:jc w:val="left"/>
        <w:tblInd w:w="0" w:type="dxa"/>
        <w:tblLayout w:type="fixed"/>
        <w:tblCellMar>
          <w:top w:w="28" w:type="dxa"/>
          <w:left w:w="28" w:type="dxa"/>
          <w:bottom w:w="28" w:type="dxa"/>
          <w:right w:w="28" w:type="dxa"/>
        </w:tblCellMar>
      </w:tblPr>
      <w:tblGrid>
        <w:gridCol w:w="1025"/>
        <w:gridCol w:w="902"/>
        <w:gridCol w:w="9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59"/>
        <w:gridCol w:w="362"/>
        <w:gridCol w:w="508"/>
        <w:gridCol w:w="109"/>
        <w:gridCol w:w="109"/>
        <w:gridCol w:w="109"/>
        <w:gridCol w:w="109"/>
        <w:gridCol w:w="109"/>
        <w:gridCol w:w="109"/>
        <w:gridCol w:w="109"/>
        <w:gridCol w:w="109"/>
        <w:gridCol w:w="109"/>
        <w:gridCol w:w="109"/>
        <w:gridCol w:w="109"/>
        <w:gridCol w:w="109"/>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Salaries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Occupancy of bank premises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Data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Marketing and customer relations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FDIC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 collection and servicing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Foreclosed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Comparison of the Three Months Ended March 31, 2026 to the Three Months Ended March 31,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noninterest expense for the three months ended March 31, 2026, was $52.4 million, an increase of $20.5 million, or 64.2%, from the three months ended March 31, 2025. Notable changes in noninterest expense include the following: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CNB acquisition-related expenses totaled $15.7 million during the three months ended March 31, 2026, including $8.7 million in data processing, $4.0 million in salaries, and $2.4 million in professional fees and other noninterest expense;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$4.8 million increase in noninterest expenses excluding CNB acquisition-related expenses was primarily attributable to a higher base level of noninterest expense, the majority related to salaries and employee benefits;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$0.6 million increase in employee benefits expense, primarily driven by higher medical benefits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2026 and 2025, we recorded income tax expense of $3.9 million, or an effective tax rate of 25.6%, and $6.4 million, or an effective tax rate of 25.2%,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CONDITION</w:t>
      </w:r>
    </w:p>
    <w:tbl>
      <w:tblPr>
        <w:tblW w:w="10205" w:type="dxa"/>
        <w:jc w:val="left"/>
        <w:tblInd w:w="0" w:type="dxa"/>
        <w:tblLayout w:type="fixed"/>
        <w:tblCellMar>
          <w:top w:w="28" w:type="dxa"/>
          <w:left w:w="28" w:type="dxa"/>
          <w:bottom w:w="28" w:type="dxa"/>
          <w:right w:w="28" w:type="dxa"/>
        </w:tblCellMar>
      </w:tblPr>
      <w:tblGrid>
        <w:gridCol w:w="1420"/>
        <w:gridCol w:w="1199"/>
        <w:gridCol w:w="1206"/>
        <w:gridCol w:w="211"/>
        <w:gridCol w:w="976"/>
        <w:gridCol w:w="271"/>
        <w:gridCol w:w="109"/>
        <w:gridCol w:w="109"/>
        <w:gridCol w:w="109"/>
        <w:gridCol w:w="211"/>
        <w:gridCol w:w="976"/>
        <w:gridCol w:w="271"/>
        <w:gridCol w:w="109"/>
        <w:gridCol w:w="109"/>
        <w:gridCol w:w="109"/>
        <w:gridCol w:w="211"/>
        <w:gridCol w:w="976"/>
        <w:gridCol w:w="109"/>
        <w:gridCol w:w="109"/>
        <w:gridCol w:w="109"/>
        <w:gridCol w:w="109"/>
        <w:gridCol w:w="308"/>
        <w:gridCol w:w="308"/>
        <w:gridCol w:w="571"/>
      </w:tblGrid>
      <w:tr>
        <w:trPr/>
        <w:tc>
          <w:tcPr>
            <w:tcW w:w="142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Debt securities available-for-sale,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1,025,992 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813,101 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Debt securities held-to-maturity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before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4,686,951 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3,456,209 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net of allowance for credit losses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4,626,477 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3,414,519 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186,555 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6,773,724 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5,071,390 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4,359,263 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Securities sold under agreements to repurchase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Subordinated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Junior subordinated debentures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6,026,319 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4,455,892 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615,498 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6,773,724 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5,071,390 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Tangible assets </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6,645,258 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4,996,453 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Tangible common equity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Core deposits </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5,425,094 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4,157,898 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Share and Per Share Information</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Tangible book value per share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of common stock outstanding</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36,381,078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31,431,924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Sheet Ratios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 to deposit ratio</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Core deposits to total deposits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equity to total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Tangible common equity to tangible assets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NM   Not meaningful.</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(1)See "Non-GAAP Financial Information" for reconciliation of non-GAAP measures to their most closely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Notable changes in our consolidated balance sheet include the following:</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CNB merger added $1.81 billion in total assets, $1.30 billion in loans held for investment, and $1.52 billion in total deposits;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Following the CNB merger, $313.1 million of the debt securities acquired from CNB were sold with the sales proceeds used to pay off higher cost sources of funding and purchase higher yield debt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Excluding the impact of the CNB merger, a $72.7 million decrease in total deposits was primarily attributable to an $88.9 million decrease in wealth management customer reciprocal money market deposits, of which $85.0 million was moved off-balance sheet due to strong levels of on-balance sheet liquidity;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private placement of $85.0 million of 5.75% fixed-to-floating rate subordinated notes due in 2036 was completed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composition of the loan portfolio, excluding loans held-for-sale, by type of loan.</w:t>
      </w:r>
    </w:p>
    <w:tbl>
      <w:tblPr>
        <w:tblW w:w="9552" w:type="dxa"/>
        <w:jc w:val="left"/>
        <w:tblInd w:w="0" w:type="dxa"/>
        <w:tblLayout w:type="fixed"/>
        <w:tblCellMar>
          <w:top w:w="28" w:type="dxa"/>
          <w:left w:w="28" w:type="dxa"/>
          <w:bottom w:w="28" w:type="dxa"/>
          <w:right w:w="28" w:type="dxa"/>
        </w:tblCellMar>
      </w:tblPr>
      <w:tblGrid>
        <w:gridCol w:w="1392"/>
        <w:gridCol w:w="1222"/>
        <w:gridCol w:w="1226"/>
        <w:gridCol w:w="211"/>
        <w:gridCol w:w="976"/>
        <w:gridCol w:w="109"/>
        <w:gridCol w:w="109"/>
        <w:gridCol w:w="109"/>
        <w:gridCol w:w="109"/>
        <w:gridCol w:w="307"/>
        <w:gridCol w:w="309"/>
        <w:gridCol w:w="426"/>
        <w:gridCol w:w="109"/>
        <w:gridCol w:w="109"/>
        <w:gridCol w:w="109"/>
        <w:gridCol w:w="211"/>
        <w:gridCol w:w="976"/>
        <w:gridCol w:w="109"/>
        <w:gridCol w:w="109"/>
        <w:gridCol w:w="109"/>
        <w:gridCol w:w="109"/>
        <w:gridCol w:w="307"/>
        <w:gridCol w:w="309"/>
        <w:gridCol w:w="481"/>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Percent</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owner occupied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non-owner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and 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Agricultural and farmland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 consumer,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before allowance for credit losses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4,686,951 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Loans, net of allowance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4,626,477 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3,414,519 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Loans, before allowance for credit losses were $4.69 billion at March 31, 2026, an increase of $1.23 billion, or 35.6%, from December 31, 2025. Excluding the impact of the CNB merger, loans decreased by $65.6 million with the following notable changes: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 seasonal $26.3 million increase in grain elevator lines of credit within the commercial and industrial segment;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$8.0 million reduction on two commercial and industrial lines of credit that funded shortly before and paid off after December 31,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Larger payoffs due to refinancings across the multi-family, commercial real estate - non-owner occupied, and municipal, consumer, and other segments were partially offset by increases in the construction and land development and one-to-four family residential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Commercial Real Estate Portfolios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Commercial real estate – owner occupied loans are primarily made based on the identified cash flows of the borrower and secondarily on the underlying collateral provided by the borrower. The commercial real estate – owner occupied portfolio composition, segmented by the owner’s business classification, as of March 31, 2026 was as follows:</w:t>
      </w:r>
    </w:p>
    <w:tbl>
      <w:tblPr>
        <w:tblW w:w="6046" w:type="dxa"/>
        <w:jc w:val="left"/>
        <w:tblInd w:w="0" w:type="dxa"/>
        <w:tblLayout w:type="fixed"/>
        <w:tblCellMar>
          <w:top w:w="28" w:type="dxa"/>
          <w:left w:w="28" w:type="dxa"/>
          <w:bottom w:w="28" w:type="dxa"/>
          <w:right w:w="28" w:type="dxa"/>
        </w:tblCellMar>
      </w:tblPr>
      <w:tblGrid>
        <w:gridCol w:w="1256"/>
        <w:gridCol w:w="1102"/>
        <w:gridCol w:w="1106"/>
        <w:gridCol w:w="196"/>
        <w:gridCol w:w="736"/>
        <w:gridCol w:w="109"/>
        <w:gridCol w:w="109"/>
        <w:gridCol w:w="109"/>
        <w:gridCol w:w="109"/>
        <w:gridCol w:w="238"/>
        <w:gridCol w:w="788"/>
        <w:gridCol w:w="188"/>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Substandard </w:t>
              <w:br/>
              <w:t>Risk Rating</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Accommodation and food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Health care and social assistance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Real estate, rental, and leasing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 repair and dealers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Retail trade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Grain elevators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Arts, entertainment, and recreation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services (except public administration)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Wholesale trade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Administrative and support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Professional, scientific, and technical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Education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Agriculture, forestry, fishing, and hunting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12,642 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Commercial real estate – non-owner occupied loans are primarily made based on projected cash flows from the rental or sale of the underlying collateral. The commercial real estate – non-owner occupied portfolio composition, segmented by the property type, as of March 31, 2026 was as follows:</w:t>
      </w:r>
    </w:p>
    <w:tbl>
      <w:tblPr>
        <w:tblW w:w="8040" w:type="dxa"/>
        <w:jc w:val="left"/>
        <w:tblInd w:w="0" w:type="dxa"/>
        <w:tblLayout w:type="fixed"/>
        <w:tblCellMar>
          <w:top w:w="28" w:type="dxa"/>
          <w:left w:w="28" w:type="dxa"/>
          <w:bottom w:w="28" w:type="dxa"/>
          <w:right w:w="28" w:type="dxa"/>
        </w:tblCellMar>
      </w:tblPr>
      <w:tblGrid>
        <w:gridCol w:w="1076"/>
        <w:gridCol w:w="945"/>
        <w:gridCol w:w="949"/>
        <w:gridCol w:w="196"/>
        <w:gridCol w:w="871"/>
        <w:gridCol w:w="109"/>
        <w:gridCol w:w="109"/>
        <w:gridCol w:w="109"/>
        <w:gridCol w:w="109"/>
        <w:gridCol w:w="266"/>
        <w:gridCol w:w="756"/>
        <w:gridCol w:w="148"/>
        <w:gridCol w:w="109"/>
        <w:gridCol w:w="109"/>
        <w:gridCol w:w="109"/>
        <w:gridCol w:w="434"/>
        <w:gridCol w:w="434"/>
        <w:gridCol w:w="1202"/>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Substandard </w:t>
              <w:br/>
              <w:t>Risk 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Weighted Average LTV</w:t>
            </w:r>
            <w:r>
              <w:rPr>
                <w:rFonts w:ascii="Arial;sans-serif" w:hAnsi="Arial;sans-serif"/>
                <w:b/>
                <w:color w:val="000000"/>
                <w:sz w:val="10"/>
              </w:rPr>
              <w:t>(1)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Warehouse and manufacturing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Living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Mixed use (commercial and 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Medical office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Gas station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 repair and dealers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Restaurant and bar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1,099,784 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     Weighted average LTV is based on the most recent appraisals available, which are generally obtained at the time of origination.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Multi-family loans totaled $638.7 million as of March 31, 2026, and are primarily made based on projected cash flows from the rental of the underlying collateral. As of March 31, 2026, multi-family loans had a weighted average LTV of 58%, based on the most recent appraisals available, which are generally obtained at the time of origination.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Construction and land development loans totaled $425.3 million as of March 31, 2026. The majority of these loans consist of multi-family and one-to-four family residential construction projects either to be sold upon completion or held for long-term investment, but also include other property types that may be rented, sold, or owner occupied upon completion. Construction and land development loans are primarily based on projected cash flows from the rental or sale of the underlying collateral, or based on the identified cash flows of the borrower.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Management’s disciplined approach to credit risk management is exercised through portfolio diversification, robust underwriting policies, and routine loan monitoring practices in order to identify and mitigate any credit weakness as early as possible. Management continually monitors and evaluates commercial real estate concentrations by property class, industry, and relative to the Bank’s regulatory capital to remain in line with board-established limits and adapt to changing industry conditions. A centralized credit underwriting group, independent of the originating lender, evaluates a vast majority of the commercial exposures over $750 thousand annually, if not more frequently, through a standardized credit review process to ensure uniform application of policies and procedures as well as analyze credit performance. All loans require appropriate internal approval, with a centralized credit approval group reviewing the vast majority of exposures over $1 million. Additionally, more than 45% of loan commitments are reviewed on a rolling 24 month basis between a robust internal review process and an annual third-party review of a sample of the portfolio.</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commercial real estate – non-owner occupied and multi-family loans over $1 million, we evaluate, on a quarterly basis, the impact of current interest rates on the underlying cash flows of the properties securing these loans, based on the most recent cash flow data available. Individual credits with a maturity scheduled within the next five quarters that are presenting stress under current renewal terms are identified, so that ample time is available to develop solutions to manage credit risk. This testing is completed in addition to the various sensitivity testing completed at the initial extension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Loan Portfolio Maturities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scheduled maturities of the loan portfolio as of March 31, 2026. Demand loans (loans having no stated repayment schedule or maturity) and overdraft loans are reported as being due in one year or less.</w:t>
      </w:r>
    </w:p>
    <w:tbl>
      <w:tblPr>
        <w:tblW w:w="10205" w:type="dxa"/>
        <w:jc w:val="left"/>
        <w:tblInd w:w="0" w:type="dxa"/>
        <w:tblLayout w:type="fixed"/>
        <w:tblCellMar>
          <w:top w:w="28" w:type="dxa"/>
          <w:left w:w="28" w:type="dxa"/>
          <w:bottom w:w="28" w:type="dxa"/>
          <w:right w:w="28" w:type="dxa"/>
        </w:tblCellMar>
      </w:tblPr>
      <w:tblGrid>
        <w:gridCol w:w="1062"/>
        <w:gridCol w:w="898"/>
        <w:gridCol w:w="901"/>
        <w:gridCol w:w="109"/>
        <w:gridCol w:w="109"/>
        <w:gridCol w:w="109"/>
        <w:gridCol w:w="196"/>
        <w:gridCol w:w="871"/>
        <w:gridCol w:w="109"/>
        <w:gridCol w:w="109"/>
        <w:gridCol w:w="109"/>
        <w:gridCol w:w="109"/>
        <w:gridCol w:w="196"/>
        <w:gridCol w:w="871"/>
        <w:gridCol w:w="109"/>
        <w:gridCol w:w="109"/>
        <w:gridCol w:w="109"/>
        <w:gridCol w:w="109"/>
        <w:gridCol w:w="205"/>
        <w:gridCol w:w="773"/>
        <w:gridCol w:w="114"/>
        <w:gridCol w:w="109"/>
        <w:gridCol w:w="109"/>
        <w:gridCol w:w="109"/>
        <w:gridCol w:w="196"/>
        <w:gridCol w:w="736"/>
        <w:gridCol w:w="109"/>
        <w:gridCol w:w="109"/>
        <w:gridCol w:w="109"/>
        <w:gridCol w:w="109"/>
        <w:gridCol w:w="196"/>
        <w:gridCol w:w="871"/>
        <w:gridCol w:w="157"/>
      </w:tblGrid>
      <w:tr>
        <w:trPr/>
        <w:tc>
          <w:tcPr>
            <w:tcW w:w="10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 Year</w:t>
              <w:br/>
              <w:t>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After 1 Year</w:t>
              <w:br/>
              <w:t>Through</w:t>
              <w:br/>
              <w:t>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After 5 Years</w:t>
              <w:br/>
              <w:t>Through</w:t>
              <w:br/>
              <w:t>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After</w:t>
              <w:br/>
              <w:t>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528,301 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150,830 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159,271 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1,099,784 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72,086 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596,294 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75,685 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264,174 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1,276,629 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2,008,894 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749,053 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652,375 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4,686,951 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loans maturing after one year, segregated into variable and fixed interest rates.</w:t>
      </w:r>
    </w:p>
    <w:tbl>
      <w:tblPr>
        <w:tblW w:w="10205" w:type="dxa"/>
        <w:jc w:val="left"/>
        <w:tblInd w:w="0" w:type="dxa"/>
        <w:tblLayout w:type="fixed"/>
        <w:tblCellMar>
          <w:top w:w="28" w:type="dxa"/>
          <w:left w:w="28" w:type="dxa"/>
          <w:bottom w:w="28" w:type="dxa"/>
          <w:right w:w="28" w:type="dxa"/>
        </w:tblCellMar>
      </w:tblPr>
      <w:tblGrid>
        <w:gridCol w:w="1046"/>
        <w:gridCol w:w="881"/>
        <w:gridCol w:w="883"/>
        <w:gridCol w:w="109"/>
        <w:gridCol w:w="109"/>
        <w:gridCol w:w="109"/>
        <w:gridCol w:w="196"/>
        <w:gridCol w:w="736"/>
        <w:gridCol w:w="109"/>
        <w:gridCol w:w="109"/>
        <w:gridCol w:w="109"/>
        <w:gridCol w:w="109"/>
        <w:gridCol w:w="196"/>
        <w:gridCol w:w="736"/>
        <w:gridCol w:w="109"/>
        <w:gridCol w:w="109"/>
        <w:gridCol w:w="109"/>
        <w:gridCol w:w="109"/>
        <w:gridCol w:w="198"/>
        <w:gridCol w:w="884"/>
        <w:gridCol w:w="110"/>
        <w:gridCol w:w="109"/>
        <w:gridCol w:w="109"/>
        <w:gridCol w:w="109"/>
        <w:gridCol w:w="210"/>
        <w:gridCol w:w="933"/>
        <w:gridCol w:w="118"/>
        <w:gridCol w:w="109"/>
        <w:gridCol w:w="109"/>
        <w:gridCol w:w="109"/>
        <w:gridCol w:w="196"/>
        <w:gridCol w:w="871"/>
        <w:gridCol w:w="158"/>
      </w:tblGrid>
      <w:tr>
        <w:trPr/>
        <w:tc>
          <w:tcPr>
            <w:tcW w:w="10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Variable 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Repricing</w:t>
              <w:br/>
              <w:t>1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Repricing</w:t>
              <w:br/>
              <w:t>After</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Variable</w:t>
              <w:b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Predetermined</w:t>
              <w:br/>
              <w:t>(Fixed)</w:t>
              <w:b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168,093 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275,727 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452,965 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Commercial real estate - non-owner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292,458 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563,630 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856,088 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220,321 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131,051 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373,229 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One-to-four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251,810 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519,447 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Agricultural and 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209,717 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390,377 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Municipal, 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54,578 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136,539 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191,117 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755,235 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1,434,973 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1,975,349 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3,410,322 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Nonperforming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nonperforming loans and nonperforming assets were as follows:</w:t>
      </w:r>
    </w:p>
    <w:tbl>
      <w:tblPr>
        <w:tblW w:w="10205" w:type="dxa"/>
        <w:jc w:val="left"/>
        <w:tblInd w:w="0" w:type="dxa"/>
        <w:tblLayout w:type="fixed"/>
        <w:tblCellMar>
          <w:top w:w="28" w:type="dxa"/>
          <w:left w:w="28" w:type="dxa"/>
          <w:bottom w:w="28" w:type="dxa"/>
          <w:right w:w="28" w:type="dxa"/>
        </w:tblCellMar>
      </w:tblPr>
      <w:tblGrid>
        <w:gridCol w:w="2538"/>
        <w:gridCol w:w="2233"/>
        <w:gridCol w:w="2243"/>
        <w:gridCol w:w="221"/>
        <w:gridCol w:w="755"/>
        <w:gridCol w:w="283"/>
        <w:gridCol w:w="109"/>
        <w:gridCol w:w="109"/>
        <w:gridCol w:w="109"/>
        <w:gridCol w:w="273"/>
        <w:gridCol w:w="924"/>
        <w:gridCol w:w="408"/>
      </w:tblGrid>
      <w:tr>
        <w:trPr/>
        <w:tc>
          <w:tcPr>
            <w:tcW w:w="253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7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NONPERFORMING ASSETS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Nonaccrual</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Past due 90 days or more, still accruing</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nonperforming loans</w:t>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7,556 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Foreclosed assets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1,126 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nonperforming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8,682 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loans that are wholly or partially guaranteed by the U.S. Government</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60,474 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41,690 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before allowance for credit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4,686,951 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3,456,209 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CREDIT QUALITY RATIOS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 to loans, before allowance for credit losses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 to nonaccrual loans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551.75</w:t>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 to nonperforming loans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551.75</w:t>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Nonaccrual loans to loans, before allowance for credit losses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w:t>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loans to loans, before allowance for credit losses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w:t>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assets to total assets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0.17</w:t>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assets to loans, before allowance for credit losses, and foreclosed assets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0.25</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Total nonperforming assets were $14.4 million at March 31, 2026, an increase of 65.6% when compared to $8.7 million at December 31, 2025. The $5.7 million increase in nonperforming assets from December 31, 2025 was primarily attributable to $6.1 million of nonaccrual loans acquired in the CNB merger, with the majority in the construction and land development segment. Additionally, of the $13.2 million of nonperforming loans held as of March 31, 2026, $2.3 million are either wholly or partially guaranteed by the U.S. Government.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Risk Classification of Loans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risk classifications of loans were as follows:</w:t>
      </w:r>
    </w:p>
    <w:tbl>
      <w:tblPr>
        <w:tblW w:w="4982" w:type="dxa"/>
        <w:jc w:val="left"/>
        <w:tblInd w:w="0" w:type="dxa"/>
        <w:tblLayout w:type="fixed"/>
        <w:tblCellMar>
          <w:top w:w="28" w:type="dxa"/>
          <w:left w:w="28" w:type="dxa"/>
          <w:bottom w:w="28" w:type="dxa"/>
          <w:right w:w="28" w:type="dxa"/>
        </w:tblCellMar>
      </w:tblPr>
      <w:tblGrid>
        <w:gridCol w:w="614"/>
        <w:gridCol w:w="539"/>
        <w:gridCol w:w="541"/>
        <w:gridCol w:w="211"/>
        <w:gridCol w:w="1021"/>
        <w:gridCol w:w="109"/>
        <w:gridCol w:w="109"/>
        <w:gridCol w:w="109"/>
        <w:gridCol w:w="109"/>
        <w:gridCol w:w="246"/>
        <w:gridCol w:w="1194"/>
        <w:gridCol w:w="18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3,241,912 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Pass-watch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131,766 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Special mention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Substandard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3,456,209 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Loans rated pass-watch or worse increased $155.5 million, or 72.5%, from December 31, 2025 to March 31, 2026, primarily attributable to loans acquired in the CNB merger, including $113.0 million of pass-watch loans, $18.0 million of special mention loans, and $20.7 million of substandard loans.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Net Charge-offs (Recoveries)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net charge-offs (recoveries) to average loans by loan category.</w:t>
      </w:r>
    </w:p>
    <w:tbl>
      <w:tblPr>
        <w:tblW w:w="7781" w:type="dxa"/>
        <w:jc w:val="left"/>
        <w:tblInd w:w="0" w:type="dxa"/>
        <w:tblLayout w:type="fixed"/>
        <w:tblCellMar>
          <w:top w:w="28" w:type="dxa"/>
          <w:left w:w="28" w:type="dxa"/>
          <w:bottom w:w="28" w:type="dxa"/>
          <w:right w:w="28" w:type="dxa"/>
        </w:tblCellMar>
      </w:tblPr>
      <w:tblGrid>
        <w:gridCol w:w="1392"/>
        <w:gridCol w:w="1221"/>
        <w:gridCol w:w="1226"/>
        <w:gridCol w:w="211"/>
        <w:gridCol w:w="976"/>
        <w:gridCol w:w="271"/>
        <w:gridCol w:w="109"/>
        <w:gridCol w:w="109"/>
        <w:gridCol w:w="109"/>
        <w:gridCol w:w="211"/>
        <w:gridCol w:w="976"/>
        <w:gridCol w:w="271"/>
        <w:gridCol w:w="109"/>
        <w:gridCol w:w="109"/>
        <w:gridCol w:w="109"/>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charge-offs (recoveries)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non-owner occupied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and land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Agricultural and farmland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 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Average loans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owner occupied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non-owner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998,651 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and 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341,733 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568,948 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503,901 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Agricultural and farmland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 consumer,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3,890,388 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3,460,906 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Charge-offs (recoveries) to average loans *</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Commercial real estate - non-owner occupied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Construction and land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Agricultural and farmland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 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net charge-offs (recoveries) to average total loans ratio has remained low for several years. While we believe our continuous credit monitoring and collection efforts have resulted in lower levels of credit losses, we also recognize that the relatively stable economic conditions after the COVID-19 pandemic have also contributed to reduced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investment policy emphasizes safety of the principal, liquidity needs, expected returns, cash flow targets, and consistency with our interest rate risk management strategy. The composition and maturities of the debt securities portfolio as of March 31, 2026, are summarized in the following table. Maturities are based on the final contractual payment dates, and do not reflect the impact of prepayments or early redemptions that may occur. Security yields have not been adjusted to a tax-equivalent basis.</w:t>
      </w:r>
    </w:p>
    <w:tbl>
      <w:tblPr>
        <w:tblW w:w="10281" w:type="dxa"/>
        <w:jc w:val="left"/>
        <w:tblInd w:w="0" w:type="dxa"/>
        <w:tblLayout w:type="fixed"/>
        <w:tblCellMar>
          <w:top w:w="28" w:type="dxa"/>
          <w:left w:w="28" w:type="dxa"/>
          <w:bottom w:w="28" w:type="dxa"/>
          <w:right w:w="28" w:type="dxa"/>
        </w:tblCellMar>
      </w:tblPr>
      <w:tblGrid>
        <w:gridCol w:w="772"/>
        <w:gridCol w:w="506"/>
        <w:gridCol w:w="283"/>
        <w:gridCol w:w="109"/>
        <w:gridCol w:w="109"/>
        <w:gridCol w:w="109"/>
        <w:gridCol w:w="211"/>
        <w:gridCol w:w="976"/>
        <w:gridCol w:w="109"/>
        <w:gridCol w:w="109"/>
        <w:gridCol w:w="109"/>
        <w:gridCol w:w="109"/>
        <w:gridCol w:w="255"/>
        <w:gridCol w:w="256"/>
        <w:gridCol w:w="476"/>
        <w:gridCol w:w="109"/>
        <w:gridCol w:w="109"/>
        <w:gridCol w:w="109"/>
        <w:gridCol w:w="211"/>
        <w:gridCol w:w="826"/>
        <w:gridCol w:w="109"/>
        <w:gridCol w:w="109"/>
        <w:gridCol w:w="109"/>
        <w:gridCol w:w="109"/>
        <w:gridCol w:w="255"/>
        <w:gridCol w:w="256"/>
        <w:gridCol w:w="476"/>
        <w:gridCol w:w="109"/>
        <w:gridCol w:w="109"/>
        <w:gridCol w:w="109"/>
        <w:gridCol w:w="211"/>
        <w:gridCol w:w="976"/>
        <w:gridCol w:w="109"/>
        <w:gridCol w:w="109"/>
        <w:gridCol w:w="109"/>
        <w:gridCol w:w="109"/>
        <w:gridCol w:w="255"/>
        <w:gridCol w:w="256"/>
        <w:gridCol w:w="535"/>
      </w:tblGrid>
      <w:tr>
        <w:trPr/>
        <w:tc>
          <w:tcPr>
            <w:tcW w:w="77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Held-to-Maturity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 </w:t>
              <w:br/>
              <w:t xml:space="preserve">Average </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 </w:t>
              <w:br/>
              <w:t xml:space="preserve">Average </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Weighted </w:t>
              <w:br/>
              <w:t xml:space="preserve">Average </w:t>
              <w:br/>
              <w:t>Yield</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1" w:type="dxa"/>
            <w:gridSpan w:val="3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Due in 1 year or less</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281"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Due after 1 year through 5 years</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5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government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281" w:type="dxa"/>
            <w:gridSpan w:val="3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Due after 5 years through 10 years</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government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281" w:type="dxa"/>
            <w:gridSpan w:val="3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Due after 10 years</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government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281" w:type="dxa"/>
            <w:gridSpan w:val="3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government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Agency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1,515,103 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SOURCES OF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Deposits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Management continues to focus on growing deposits through the Company’s relationship-driven banking philosophy and community-focused marketing programs.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distribution of average deposits, by account type:</w:t>
      </w:r>
    </w:p>
    <w:tbl>
      <w:tblPr>
        <w:tblW w:w="10205" w:type="dxa"/>
        <w:jc w:val="left"/>
        <w:tblInd w:w="0" w:type="dxa"/>
        <w:tblLayout w:type="fixed"/>
        <w:tblCellMar>
          <w:top w:w="28" w:type="dxa"/>
          <w:left w:w="28" w:type="dxa"/>
          <w:bottom w:w="28" w:type="dxa"/>
          <w:right w:w="28" w:type="dxa"/>
        </w:tblCellMar>
      </w:tblPr>
      <w:tblGrid>
        <w:gridCol w:w="532"/>
        <w:gridCol w:w="468"/>
        <w:gridCol w:w="473"/>
        <w:gridCol w:w="181"/>
        <w:gridCol w:w="766"/>
        <w:gridCol w:w="109"/>
        <w:gridCol w:w="109"/>
        <w:gridCol w:w="109"/>
        <w:gridCol w:w="109"/>
        <w:gridCol w:w="264"/>
        <w:gridCol w:w="248"/>
        <w:gridCol w:w="447"/>
        <w:gridCol w:w="109"/>
        <w:gridCol w:w="109"/>
        <w:gridCol w:w="109"/>
        <w:gridCol w:w="263"/>
        <w:gridCol w:w="223"/>
        <w:gridCol w:w="467"/>
        <w:gridCol w:w="109"/>
        <w:gridCol w:w="109"/>
        <w:gridCol w:w="109"/>
        <w:gridCol w:w="181"/>
        <w:gridCol w:w="766"/>
        <w:gridCol w:w="109"/>
        <w:gridCol w:w="109"/>
        <w:gridCol w:w="109"/>
        <w:gridCol w:w="109"/>
        <w:gridCol w:w="264"/>
        <w:gridCol w:w="248"/>
        <w:gridCol w:w="447"/>
        <w:gridCol w:w="109"/>
        <w:gridCol w:w="109"/>
        <w:gridCol w:w="109"/>
        <w:gridCol w:w="263"/>
        <w:gridCol w:w="223"/>
        <w:gridCol w:w="467"/>
        <w:gridCol w:w="109"/>
        <w:gridCol w:w="109"/>
        <w:gridCol w:w="109"/>
        <w:gridCol w:w="210"/>
        <w:gridCol w:w="211"/>
        <w:gridCol w:w="413"/>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Percent</w:t>
              <w:br/>
              <w:t>Change in</w:t>
              <w:br/>
              <w:t>Average</w:t>
              <w:br/>
              <w:t>Balance</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2"/>
              </w:rPr>
            </w:pPr>
            <w:r>
              <w:rPr>
                <w:rFonts w:ascii="Arial;sans-serif" w:hAnsi="Arial;sans-serif"/>
                <w:b w:val="false"/>
                <w:i/>
                <w:color w:val="000000"/>
                <w:sz w:val="12"/>
              </w:rPr>
              <w:t>(dollars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Percent of</w:t>
            </w:r>
            <w:r>
              <w:rPr>
                <w:color w:val="000000"/>
              </w:rPr>
              <w:t xml:space="preserve"> </w:t>
            </w:r>
          </w:p>
          <w:p>
            <w:pPr>
              <w:pStyle w:val="TableContents"/>
              <w:bidi w:val="0"/>
              <w:spacing w:lineRule="auto" w:line="288" w:before="0" w:after="0"/>
              <w:jc w:val="center"/>
              <w:rPr/>
            </w:pPr>
            <w:r>
              <w:rPr>
                <w:rFonts w:ascii="Arial;sans-serif" w:hAnsi="Arial;sans-serif"/>
                <w:b/>
                <w:color w:val="000000"/>
                <w:sz w:val="14"/>
              </w:rPr>
              <w:t>Total Deposits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Weighted</w:t>
            </w:r>
            <w:r>
              <w:rPr>
                <w:color w:val="000000"/>
              </w:rPr>
              <w:t xml:space="preserve"> </w:t>
            </w:r>
          </w:p>
          <w:p>
            <w:pPr>
              <w:pStyle w:val="TableContents"/>
              <w:bidi w:val="0"/>
              <w:spacing w:lineRule="auto" w:line="288" w:before="0" w:after="0"/>
              <w:jc w:val="center"/>
              <w:rPr/>
            </w:pPr>
            <w:r>
              <w:rPr>
                <w:rFonts w:ascii="Arial;sans-serif" w:hAnsi="Arial;sans-serif"/>
                <w:b/>
                <w:color w:val="000000"/>
                <w:sz w:val="14"/>
              </w:rPr>
              <w:t>Average Cost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Percent of</w:t>
            </w:r>
            <w:r>
              <w:rPr>
                <w:color w:val="000000"/>
              </w:rPr>
              <w:t xml:space="preserve"> </w:t>
            </w:r>
          </w:p>
          <w:p>
            <w:pPr>
              <w:pStyle w:val="TableContents"/>
              <w:bidi w:val="0"/>
              <w:spacing w:lineRule="auto" w:line="288" w:before="0" w:after="0"/>
              <w:jc w:val="center"/>
              <w:rPr/>
            </w:pPr>
            <w:r>
              <w:rPr>
                <w:rFonts w:ascii="Arial;sans-serif" w:hAnsi="Arial;sans-serif"/>
                <w:b/>
                <w:color w:val="000000"/>
                <w:sz w:val="14"/>
              </w:rPr>
              <w:t>Total Deposits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Weighted</w:t>
            </w:r>
            <w:r>
              <w:rPr>
                <w:color w:val="000000"/>
              </w:rPr>
              <w:t xml:space="preserve"> </w:t>
            </w:r>
          </w:p>
          <w:p>
            <w:pPr>
              <w:pStyle w:val="TableContents"/>
              <w:bidi w:val="0"/>
              <w:spacing w:lineRule="auto" w:line="288" w:before="0" w:after="0"/>
              <w:jc w:val="center"/>
              <w:rPr/>
            </w:pPr>
            <w:r>
              <w:rPr>
                <w:rFonts w:ascii="Arial;sans-serif" w:hAnsi="Arial;sans-serif"/>
                <w:b/>
                <w:color w:val="000000"/>
                <w:sz w:val="14"/>
              </w:rPr>
              <w:t>Average Cost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23.5 </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24.1 </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4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Interest-bearing demand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25.9 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Money market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Savings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Time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940,019 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deposits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4,893,110 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4,327,662 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6390" w:type="dxa"/>
            <w:gridSpan w:val="30"/>
            <w:tcBorders/>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3" w:type="dxa"/>
            <w:gridSpan w:val="27"/>
            <w:tcBorders/>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average balance of deposits increased 13.1% from the three months ended March 31, 2025 to the three months ended March 31, 2026 primarily due to the CNB acquisition, which added $996.5 million of non-maturity deposits and $520.4 million of time deposits on March 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Despite the continued shift towards higher cost deposit products, a reduction in the target range for the federal funds rate during the second half of 2025 contributed to a decrease in funding costs. As a result, total deposit costs have continued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time deposits by remaining maturity as of March 31, 2026:</w:t>
      </w:r>
    </w:p>
    <w:tbl>
      <w:tblPr>
        <w:tblW w:w="10205" w:type="dxa"/>
        <w:jc w:val="left"/>
        <w:tblInd w:w="0" w:type="dxa"/>
        <w:tblLayout w:type="fixed"/>
        <w:tblCellMar>
          <w:top w:w="28" w:type="dxa"/>
          <w:left w:w="28" w:type="dxa"/>
          <w:bottom w:w="28" w:type="dxa"/>
          <w:right w:w="28" w:type="dxa"/>
        </w:tblCellMar>
      </w:tblPr>
      <w:tblGrid>
        <w:gridCol w:w="1047"/>
        <w:gridCol w:w="866"/>
        <w:gridCol w:w="870"/>
        <w:gridCol w:w="436"/>
        <w:gridCol w:w="389"/>
        <w:gridCol w:w="392"/>
        <w:gridCol w:w="109"/>
        <w:gridCol w:w="109"/>
        <w:gridCol w:w="109"/>
        <w:gridCol w:w="513"/>
        <w:gridCol w:w="388"/>
        <w:gridCol w:w="393"/>
        <w:gridCol w:w="109"/>
        <w:gridCol w:w="109"/>
        <w:gridCol w:w="109"/>
        <w:gridCol w:w="513"/>
        <w:gridCol w:w="388"/>
        <w:gridCol w:w="393"/>
        <w:gridCol w:w="109"/>
        <w:gridCol w:w="109"/>
        <w:gridCol w:w="109"/>
        <w:gridCol w:w="405"/>
        <w:gridCol w:w="337"/>
        <w:gridCol w:w="339"/>
        <w:gridCol w:w="109"/>
        <w:gridCol w:w="109"/>
        <w:gridCol w:w="109"/>
        <w:gridCol w:w="247"/>
        <w:gridCol w:w="400"/>
        <w:gridCol w:w="581"/>
      </w:tblGrid>
      <w:tr>
        <w:trPr/>
        <w:tc>
          <w:tcPr>
            <w:tcW w:w="10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(dollars in thousands)</w:t>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3 Months or</w:t>
              <w:br/>
              <w:t>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Over 3 through</w:t>
              <w:br/>
              <w:t>6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Over 6 through</w:t>
              <w:b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Over</w:t>
              <w:br/>
              <w:t>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Time deposits: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less than $100,000</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475,337</w:t>
            </w:r>
          </w:p>
        </w:tc>
      </w:tr>
      <w:tr>
        <w:trPr/>
        <w:tc>
          <w:tcPr>
            <w:tcW w:w="2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of $100,000 or more but less than $250,000</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411,978</w:t>
            </w:r>
          </w:p>
        </w:tc>
      </w:tr>
      <w:tr>
        <w:trPr/>
        <w:tc>
          <w:tcPr>
            <w:tcW w:w="2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of $250,000 or more</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378,354</w:t>
            </w:r>
          </w:p>
        </w:tc>
      </w:tr>
      <w:tr>
        <w:trPr/>
        <w:tc>
          <w:tcPr>
            <w:tcW w:w="2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time deposits</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494,146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1,265,669</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Bank’s uninsured deposits were estimated to be $1.34 billion and $928.7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Bank Liquidity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overall objective of bank liquidity management is to ensure the availability of sufficient cash funds to meet all financial commitments and to take advantage of investment opportunities. The Bank manages liquidity in order to meet deposit withdrawals on demand or at contractual maturity, to repay borrowings as they mature, and to fund new loans and investments as opportunities arise.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Bank continuously monitors its liquidity positions to ensure that assets and liabilities are managed in a manner that will meet all of our short-term and long-term cash requirements. The Bank manages its liquidity position to meet our daily cash flow needs, while maintaining an appropriate balance between assets and liabilities to meet the return on investment objectives. The Bank also monitors liquidity requirements in light of interest rate trends, changes in the economy, the scheduled maturity and interest rate sensitivity of the investment and loan portfolios and deposits, and regulatory capital requirements.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part of the Bank’s liquidity management strategy, the Bank is also focused on minimizing costs of liquidity and attempts to decrease these costs by promoting noninterest-bearing and low-cost deposits. While the Bank does not control the types of deposit instruments our clients choose, those choices can be influenced with the rates and the deposit specials offered.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on-balance sheet sources of liquidity included cash and cash equivalents as well as unpledged securities which may be sold or pledged as collateral to meet liquidity needs. As of March 31, 2026 and December 31, 2025, our on-balance sheet sources of liquidity included the following:</w:t>
      </w:r>
    </w:p>
    <w:tbl>
      <w:tblPr>
        <w:tblW w:w="6781" w:type="dxa"/>
        <w:jc w:val="left"/>
        <w:tblInd w:w="0" w:type="dxa"/>
        <w:tblLayout w:type="fixed"/>
        <w:tblCellMar>
          <w:top w:w="28" w:type="dxa"/>
          <w:left w:w="28" w:type="dxa"/>
          <w:bottom w:w="28" w:type="dxa"/>
          <w:right w:w="28" w:type="dxa"/>
        </w:tblCellMar>
      </w:tblPr>
      <w:tblGrid>
        <w:gridCol w:w="1267"/>
        <w:gridCol w:w="1111"/>
        <w:gridCol w:w="1116"/>
        <w:gridCol w:w="211"/>
        <w:gridCol w:w="1021"/>
        <w:gridCol w:w="109"/>
        <w:gridCol w:w="109"/>
        <w:gridCol w:w="109"/>
        <w:gridCol w:w="109"/>
        <w:gridCol w:w="259"/>
        <w:gridCol w:w="1052"/>
        <w:gridCol w:w="308"/>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122,269 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Fair value of unpledged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845,524 </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cash and unpledged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967,793 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Additional sources of liquidity include borrowings from the FHLB, the Federal Reserve discount window, and federal fund lines of credit. Interest is charged on outstanding borrowings at the prevailing market rate. As of March 31, 2026, our current borrowings and additional available borrowing capacity were as follows:</w:t>
      </w:r>
    </w:p>
    <w:tbl>
      <w:tblPr>
        <w:tblW w:w="5845" w:type="dxa"/>
        <w:jc w:val="left"/>
        <w:tblInd w:w="0" w:type="dxa"/>
        <w:tblLayout w:type="fixed"/>
        <w:tblCellMar>
          <w:top w:w="28" w:type="dxa"/>
          <w:left w:w="28" w:type="dxa"/>
          <w:bottom w:w="28" w:type="dxa"/>
          <w:right w:w="28" w:type="dxa"/>
        </w:tblCellMar>
      </w:tblPr>
      <w:tblGrid>
        <w:gridCol w:w="919"/>
        <w:gridCol w:w="806"/>
        <w:gridCol w:w="809"/>
        <w:gridCol w:w="272"/>
        <w:gridCol w:w="968"/>
        <w:gridCol w:w="140"/>
        <w:gridCol w:w="109"/>
        <w:gridCol w:w="109"/>
        <w:gridCol w:w="109"/>
        <w:gridCol w:w="228"/>
        <w:gridCol w:w="1105"/>
        <w:gridCol w:w="271"/>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Current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Available Capacity</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FHLB</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1,007,862 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 Reserve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 funds lines of credit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80,000 </w:t>
            </w:r>
          </w:p>
        </w:tc>
        <w:tc>
          <w:tcPr>
            <w:tcW w:w="271" w:type="dxa"/>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1,196,198 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Furthermore, the Bank has the option to utilize brokered deposits as an additional source of liquidity, as needed.</w:t>
      </w:r>
    </w:p>
    <w:p>
      <w:pPr>
        <w:pStyle w:val="TextBody"/>
        <w:bidi w:val="0"/>
        <w:spacing w:lineRule="auto" w:line="288" w:before="240" w:after="283"/>
        <w:jc w:val="both"/>
        <w:rPr/>
      </w:pPr>
      <w:r>
        <w:rPr>
          <w:rFonts w:ascii="Arial;sans-serif" w:hAnsi="Arial;sans-serif"/>
          <w:b w:val="false"/>
          <w:color w:val="000000"/>
          <w:sz w:val="20"/>
        </w:rPr>
        <w:t xml:space="preserve">As of March 31, 2026, management believed </w:t>
      </w:r>
      <w:r>
        <w:rPr>
          <w:rFonts w:ascii="Arial;sans-serif" w:hAnsi="Arial;sans-serif"/>
          <w:b w:val="false"/>
          <w:color w:val="000000"/>
          <w:sz w:val="20"/>
          <w:shd w:fill="FFFFFF" w:val="clear"/>
        </w:rPr>
        <w:t>the current liquidity and available sources of liquidity are adequate to meet all of the reasonably foreseeable short-term and intermediate-term demands of the Bank</w:t>
      </w:r>
      <w:r>
        <w:rPr>
          <w:rFonts w:ascii="Arial;sans-serif" w:hAnsi="Arial;sans-serif"/>
          <w:b w:val="false"/>
          <w:color w:val="000000"/>
          <w:sz w:val="20"/>
        </w:rPr>
        <w:t>. As of March 31, 2026, the Bank had no material commitments for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Holding Company Liquidity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Holding Company, or HBT Financial, Inc. on an unconsolidated basis, is a corporation separate and apart from the Bank and, therefore, it must provide for its own liquidity. As of March 31, 2026, the Holding Company had cash and cash equivalents of $28.7 million.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Holding Company’s main source of funding is dividends declared and paid to it by the Bank. Dividends paid by the Bank to the Holding Company would be prohibited if the effect thereof would cause the Bank’s capital to be reduced below applicable minimum capital requirements. Management believes that such limitations will not impact the Holding Company’s ability to meet its ongoing short-term or intermediate-term cash obligations. During the three months ended March 31, 2026 and 2025, the Bank paid $56.0 million and $7.5 million in dividends to the Holding Company, respectively. Additionally, the private placement of $85.0 million of subordinated notes completed on March 11, 2026 bolstered the cash reserves at the Holding Company with $60.0 million contributed to the Bank during the first quarter of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liquidity needs of the Holding Company on an unconsolidated basis consist primarily of operating expenses, interest payments on debt, and shareholder distributions in the form of dividends and stock repurchases. During the three months ended March 31, 2026 and 2025, holding company operating expenses consisted of interest expense of $1.1 million and $1.4 million, respectively, and other operating expenses of $3.5 million and $1.0 million, respectively. Additionally, the Holding Company paid $7.3 million and $6.7 million of dividends to stockholders during the three months ended March 31, 2026 and 2025,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management was not aware of any known trends, events or uncertainties that had or were reasonably likely to have a material impact on the Holding Company’s liquidity.</w:t>
      </w:r>
    </w:p>
    <w:p>
      <w:pPr>
        <w:pStyle w:val="TextBody"/>
        <w:bidi w:val="0"/>
        <w:spacing w:lineRule="auto" w:line="288" w:before="240" w:after="283"/>
        <w:jc w:val="both"/>
        <w:rPr/>
      </w:pPr>
      <w:r>
        <w:rPr>
          <w:rFonts w:ascii="Arial;sans-serif" w:hAnsi="Arial;sans-serif"/>
          <w:b w:val="false"/>
          <w:color w:val="000000"/>
          <w:sz w:val="20"/>
        </w:rPr>
        <w:t xml:space="preserve">As of March 31, 2026, management believed </w:t>
      </w:r>
      <w:r>
        <w:rPr>
          <w:rFonts w:ascii="Arial;sans-serif" w:hAnsi="Arial;sans-serif"/>
          <w:b w:val="false"/>
          <w:color w:val="000000"/>
          <w:sz w:val="20"/>
          <w:shd w:fill="FFFFFF" w:val="clear"/>
        </w:rPr>
        <w:t>the current liquidity and available sources of liquidity are adequate to meet all of the reasonably foreseeable short-term and intermediate-term demands of the Holding Company</w:t>
      </w:r>
      <w:r>
        <w:rPr>
          <w:rFonts w:ascii="Arial;sans-serif" w:hAnsi="Arial;sans-serif"/>
          <w:b w:val="false"/>
          <w:color w:val="000000"/>
          <w:sz w:val="20"/>
        </w:rPr>
        <w:t>. As of March 31, 2026, the Holding Company had no material commitments for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overall objectives of capital management are to ensure the availability of sufficient capital to support loan, deposit and other asset and liability growth opportunities and to maintain capital to absorb unforeseen losses or write-downs that are inherent in the business risks associated with the banking industry. The Company seeks to balance the need for higher capital levels to address such unforeseen risks and the goal to achieve an adequate return on the capital invested by our stockholders.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Regulatory Capital Requirements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and Bank are each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financial statements of the Company and the Bank.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to meeting minimum capital requirements, the Company and the Bank must also maintain a “capital conservation buffer” to avoid becoming subject to restrictions on capital distributions and certain discretionary bonus payments to management. The capital conservation buffer requirement is 2.5% of risk-weighted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and December 31, 2025, the Company and the Bank met all capital adequacy requirements to which they were subject. As of those dates, the Bank was “well capitalized” under the regulatory prompt corrective action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actual capital ratios of the Company and the Bank as of the dates indicated, as well as the minimum ratios for capital adequacy purposes with the capital conservation buffer, and the minimum ratios to be well capitalized under regulatory prompt corrective action provisions.</w:t>
      </w:r>
    </w:p>
    <w:tbl>
      <w:tblPr>
        <w:tblW w:w="10205" w:type="dxa"/>
        <w:jc w:val="left"/>
        <w:tblInd w:w="0" w:type="dxa"/>
        <w:tblLayout w:type="fixed"/>
        <w:tblCellMar>
          <w:top w:w="28" w:type="dxa"/>
          <w:left w:w="28" w:type="dxa"/>
          <w:bottom w:w="28" w:type="dxa"/>
          <w:right w:w="28" w:type="dxa"/>
        </w:tblCellMar>
      </w:tblPr>
      <w:tblGrid>
        <w:gridCol w:w="1441"/>
        <w:gridCol w:w="1262"/>
        <w:gridCol w:w="1269"/>
        <w:gridCol w:w="109"/>
        <w:gridCol w:w="109"/>
        <w:gridCol w:w="109"/>
        <w:gridCol w:w="278"/>
        <w:gridCol w:w="278"/>
        <w:gridCol w:w="386"/>
        <w:gridCol w:w="109"/>
        <w:gridCol w:w="109"/>
        <w:gridCol w:w="109"/>
        <w:gridCol w:w="278"/>
        <w:gridCol w:w="278"/>
        <w:gridCol w:w="526"/>
        <w:gridCol w:w="109"/>
        <w:gridCol w:w="109"/>
        <w:gridCol w:w="109"/>
        <w:gridCol w:w="349"/>
        <w:gridCol w:w="339"/>
        <w:gridCol w:w="801"/>
        <w:gridCol w:w="109"/>
        <w:gridCol w:w="109"/>
        <w:gridCol w:w="109"/>
        <w:gridCol w:w="301"/>
        <w:gridCol w:w="297"/>
        <w:gridCol w:w="814"/>
      </w:tblGrid>
      <w:tr>
        <w:trPr/>
        <w:tc>
          <w:tcPr>
            <w:tcW w:w="144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For Capital</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Adequacy Purposes</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With Capital</w:t>
            </w:r>
          </w:p>
          <w:p>
            <w:pPr>
              <w:pStyle w:val="TableContents"/>
              <w:bidi w:val="0"/>
              <w:spacing w:lineRule="auto" w:line="288" w:before="0" w:after="0"/>
              <w:jc w:val="center"/>
              <w:rPr/>
            </w:pPr>
            <w:r>
              <w:rPr>
                <w:rFonts w:ascii="Arial;sans-serif" w:hAnsi="Arial;sans-serif"/>
                <w:b/>
                <w:color w:val="000000"/>
                <w:sz w:val="14"/>
              </w:rPr>
              <w:t xml:space="preserve">Conservation Buffer </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 Be Well</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Capitalized Under</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Prompt Corrective</w:t>
            </w:r>
          </w:p>
          <w:p>
            <w:pPr>
              <w:pStyle w:val="TableContents"/>
              <w:bidi w:val="0"/>
              <w:spacing w:lineRule="auto" w:line="288" w:before="0" w:after="0"/>
              <w:jc w:val="center"/>
              <w:rPr/>
            </w:pPr>
            <w:r>
              <w:rPr>
                <w:rFonts w:ascii="Arial;sans-serif" w:hAnsi="Arial;sans-serif"/>
                <w:b/>
                <w:color w:val="000000"/>
                <w:sz w:val="14"/>
              </w:rPr>
              <w:t xml:space="preserve">Action Provisions </w:t>
            </w:r>
            <w:r>
              <w:rPr>
                <w:rFonts w:ascii="Arial;sans-serif" w:hAnsi="Arial;sans-serif"/>
                <w:b/>
                <w:color w:val="000000"/>
                <w:sz w:val="9"/>
              </w:rPr>
              <w:t>(2)</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Consolidated HBT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Heartland Bank and Trust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Capital (to Risk Weighted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Tier 1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Equity Tier 1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Tier 1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8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(1)The Tier 1 capital to average assets ratio (known as the “leverage ratio”) is not impacted by the capital conservation buffer.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 prompt corrective action provisions are not applicable to bank holding companies.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N/A   Not applicable.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2026, management was not aware of any known trends, events or uncertainties that had or were reasonably likely to have a material impact on the Company’s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Cash Dividends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2025, the Company paid quarterly cash dividends of $0.21 per share. In January 2026, the Company announced an increase of $0.02 and paid a $0.23 per share dividend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Under the Company's stock repurchase program, the Company repurchased 602,855 shares of its common stock at a weighted average price of $25.84 during the three months ended March 31, 2026. The Company’s Board of Directors has authorized the repurchase of up to $30.0 million of its common stock under its stock repurchase program in effect until January 1, 2027. As of March 31, 2026, the Company had $14.4 million remaining under the current stock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a financial services provider, the Bank routinely is a party to various financial instruments with off-balance sheet risks, such as commitments to extend credit, standby letters of credit, unused lines of credit, commitments to sell loans, and interest rate swaps. While these contractual obligations represent our future cash requirements, a significant portion of commitments to extend credit may expire without being drawn upon. Such commitments are subject to the same credit policies and approval process afforded to loans originated by the Bank. For additional information, see “Note 16 – Commitments and Contingencies”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Critical accounting estimates are those that are critical to the portrayal and understanding of the Company’s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accounting estimates could be deemed critical: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allowance for credit losses reflects an estimate of lifetime expected credit losses. Measurement of expected credit losses is based on relevant information about past events, including historical experience, current conditions, and reasonable and supportable forecasts. The allowance for credit losses is established through a provision for credit losses which is charged to expense. Additions to the allowance for credit losses are expected to maintain the adequacy of the total allowance for credit losses. Loan losses are charged off against the allowance for credit losses when the Company determines the loan balance to be uncollectible. Cash received on previously charged off amounts is recorded as a recovery to the allowance for credit losses.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Management uses the discounted cash flow method to estimate expected credit losses for all loan categories, except for consumer loans where the weighted average remaining maturity method is utilized. The Company uses regression analysis of historical internal and peer data to determine which macroeconomic variables are most closely correlated with credit losses, such as the unemployment rate and changes in GDP. Management leverages economic projections from a reputable third party to form its economic forecasts with a reversion to historical averages for periods beyond a reasonable and supportable forecast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Nonaccrual loans and loans which do not share risk characteristics with other loans in the pool are individually evaluated to determine expected credit losses.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allowance for credit losses on unfunded commitments is estimated in the same manner as the associated loans, adjusted for anticipated funding rate.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Fair Value of Assets Acquired and Liabilities Assumed in Business Combinations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Business combinations are accounted for using the acquisition method of accounting. Under the acquisition method of accounting, assets acquired and liabilities assumed are recorded at their estimated fair value on the acquisition date. Estimating such fair values may require highly subjective assumptions or the use of a valuation specialist. In the CNB acquisition, the fair value for loans was most significant estimate and relatively small changes in assumptions used in this estimate could result in a materially different conclusion.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for loans was based on a discounted cash flow methodology that considered credit loss and prepayment expectations, market interest rates and other market factors, such as liquidity, from the perspective of a market participant. Loan cash flows were generated on an individual loan basis. The probability of default, loss given default, exposure at default, and prepayment assumptions are key factors in this analysis.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Quarterly Report on Form 10-Q contains certain financial information determined by methods other than those in accordance with GAAP. Management believes that it is a standard practice in the banking industry to present these non-GAAP financial measures, and accordingly believes that providing these measures may be useful for peer comparison purposes. These disclosures should not be viewed as substitutes for the results determined to be in accordance with GAAP; nor are they necessarily comparable to non-GAAP financial measures that may be presented by other companies. See our reconciliation of non-GAAP financial measures to their most closely comparable GAAP financial measures below.</w:t>
      </w:r>
    </w:p>
    <w:tbl>
      <w:tblPr>
        <w:tblW w:w="10205" w:type="dxa"/>
        <w:jc w:val="left"/>
        <w:tblInd w:w="0" w:type="dxa"/>
        <w:tblLayout w:type="fixed"/>
        <w:tblCellMar>
          <w:top w:w="28" w:type="dxa"/>
          <w:left w:w="28" w:type="dxa"/>
          <w:bottom w:w="28" w:type="dxa"/>
          <w:right w:w="28" w:type="dxa"/>
        </w:tblCellMar>
      </w:tblPr>
      <w:tblGrid>
        <w:gridCol w:w="700"/>
        <w:gridCol w:w="548"/>
        <w:gridCol w:w="549"/>
        <w:gridCol w:w="944"/>
        <w:gridCol w:w="944"/>
        <w:gridCol w:w="954"/>
        <w:gridCol w:w="1627"/>
        <w:gridCol w:w="1627"/>
        <w:gridCol w:w="2312"/>
      </w:tblGrid>
      <w:tr>
        <w:trPr/>
        <w:tc>
          <w:tcPr>
            <w:tcW w:w="7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Non-GAAP Financial Measure</w:t>
            </w:r>
          </w:p>
        </w:tc>
        <w:tc>
          <w:tcPr>
            <w:tcW w:w="2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Definition</w:t>
            </w:r>
          </w:p>
        </w:tc>
        <w:tc>
          <w:tcPr>
            <w:tcW w:w="5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How the Measure Provides Useful Information to Investors</w:t>
            </w:r>
          </w:p>
        </w:tc>
      </w:tr>
      <w:tr>
        <w:trPr/>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Net income, with the following adjustments: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acquisition expenses,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branch closure expenses,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net earnings (losses) from closed or sold operations,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-losses on extinguishment of debt,</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gains (losses) on closed branch premises,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realized gains (losses) on sales of securities,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-excludes mortgage servicing rights fair value adjustment, and</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income tax effect of these pre-tax adjustments.</w:t>
            </w:r>
          </w:p>
        </w:tc>
        <w:tc>
          <w:tcPr>
            <w:tcW w:w="5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Enhances comparisons to prior periods and, accordingly, facilitates the development of future projections and earnings growth prospects.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ratios that include Adjusted Net Income, such as: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Return on Average Assets, which is Adjusted Net Income divided by average assets.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Return on Average Equity, which is Adjusted Net Income divided by average equity.</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Earnings Per Share – Basic, which is Adjusted Net Income divided by weighted average common shares outstanding.</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Earnings Per Share – Diluted, which is Adjusted Net Income divided by weighted average common shares outstanding, including all dilutive potential shares.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Adjusted Return on Average Assets is a performance measure utilized in determining executive compensation.</w:t>
            </w:r>
          </w:p>
          <w:p>
            <w:pPr>
              <w:pStyle w:val="TableContents"/>
              <w:bidi w:val="0"/>
              <w:spacing w:before="0" w:after="0"/>
              <w:jc w:val="left"/>
              <w:rPr/>
            </w:pPr>
            <w:r>
              <w:rPr/>
            </w:r>
          </w:p>
        </w:tc>
      </w:tr>
      <w:tr>
        <w:trPr/>
        <w:tc>
          <w:tcPr>
            <w:tcW w:w="1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Pre-Provision Net Revenue</w:t>
            </w:r>
          </w:p>
        </w:tc>
        <w:tc>
          <w:tcPr>
            <w:tcW w:w="2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Net interest income, plus noninterest income, less noninterest expense.</w:t>
            </w:r>
          </w:p>
        </w:tc>
        <w:tc>
          <w:tcPr>
            <w:tcW w:w="55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Provides investors with information regarding profitability excluding provision for credit losses and income tax expense, which may fluctuate from period to period.</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measures that include Pre-Provision Net Revenue, such as: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Pre-Provision Net Revenue which reflects the adjustments considered in Adjusted Net Income, as necessary.</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-Pre-Provision Net Revenue Less Charge-offs (Recoveries).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Pre-Provision Net Revenue Less Charge-offs (Recoveries) which reflects the adjustments considered in Adjusted Net Income, as necessary.</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Adjusted Pre-Provision Net Revenue Less Net Charge-Offs (Recoveries) is a performance measure utilized in determining executive compensation.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9"/>
        <w:gridCol w:w="586"/>
        <w:gridCol w:w="588"/>
        <w:gridCol w:w="1272"/>
        <w:gridCol w:w="1167"/>
        <w:gridCol w:w="1170"/>
        <w:gridCol w:w="1338"/>
        <w:gridCol w:w="1315"/>
        <w:gridCol w:w="1870"/>
      </w:tblGrid>
      <w:tr>
        <w:trPr/>
        <w:tc>
          <w:tcPr>
            <w:tcW w:w="89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Non-GAAP Financial Measure</w:t>
            </w:r>
          </w:p>
        </w:tc>
        <w:tc>
          <w:tcPr>
            <w:tcW w:w="3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Definition</w:t>
            </w:r>
          </w:p>
        </w:tc>
        <w:tc>
          <w:tcPr>
            <w:tcW w:w="4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How the Measure Provides Useful Information to Investors</w:t>
            </w:r>
          </w:p>
        </w:tc>
      </w:tr>
      <w:tr>
        <w:trPr/>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Income (Tax-Equivalent Basis)</w:t>
            </w:r>
          </w:p>
        </w:tc>
        <w:tc>
          <w:tcPr>
            <w:tcW w:w="3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 xml:space="preserve">Net interest income adjusted for the tax-favored status of tax-exempt loans and securities. </w:t>
            </w:r>
            <w:r>
              <w:rPr>
                <w:rFonts w:ascii="Arial;sans-serif" w:hAnsi="Arial;sans-serif"/>
                <w:b w:val="false"/>
                <w:color w:val="000000"/>
                <w:sz w:val="12"/>
              </w:rPr>
              <w:t>(1)</w:t>
            </w:r>
          </w:p>
        </w:tc>
        <w:tc>
          <w:tcPr>
            <w:tcW w:w="4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believe the tax-equivalent basis is the preferred industry measurement of net interest income.</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Enhances comparability of net interest income arising from taxable and tax-exempt sources.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Net Interest Margin (Tax-Equivalent Basis), which is Net Interest Income (Tax-Equivalent Basis) divided by average interest-earning assets.</w:t>
            </w:r>
          </w:p>
        </w:tc>
      </w:tr>
      <w:tr>
        <w:trPr/>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Efficiency Ratio (Tax-Equivalent Basis)</w:t>
            </w:r>
          </w:p>
        </w:tc>
        <w:tc>
          <w:tcPr>
            <w:tcW w:w="3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 xml:space="preserve">Noninterest expense less amortization of intangible assets divided by the sum of net interest income (tax-equivalent basis) and noninterest income. </w:t>
            </w:r>
            <w:r>
              <w:rPr>
                <w:rFonts w:ascii="Arial;sans-serif" w:hAnsi="Arial;sans-serif"/>
                <w:b w:val="false"/>
                <w:color w:val="000000"/>
                <w:sz w:val="12"/>
              </w:rPr>
              <w:t>(1)</w:t>
            </w:r>
          </w:p>
        </w:tc>
        <w:tc>
          <w:tcPr>
            <w:tcW w:w="4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Provides a measure of productivity in the banking industry.</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Calculated to measure the cost of generating one dollar of revenue. That is, the ratio is designed to reflect the percentage of one dollar which must be expended to generate that dollar of revenue.</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Adjusted Efficiency Ratio (Tax-Equivalent Basis) which reflects the adjustments considered in Adjusted Net Income, as necessary.</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Adjusted Efficiency Ratio (Tax-Equivalent Basis) is a performance measure utilized in determining executive compensation.</w:t>
            </w:r>
          </w:p>
        </w:tc>
      </w:tr>
      <w:tr>
        <w:trPr/>
        <w:tc>
          <w:tcPr>
            <w:tcW w:w="2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Ratio of Tangible Common Equity to Tangible Assets</w:t>
            </w:r>
          </w:p>
        </w:tc>
        <w:tc>
          <w:tcPr>
            <w:tcW w:w="3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Tangible Common Equity is total stockholders’ equity less goodwill and other intangible assets.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Tangible Assets is total assets less goodwill and other intangible assets.</w:t>
            </w:r>
          </w:p>
        </w:tc>
        <w:tc>
          <w:tcPr>
            <w:tcW w:w="4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Generally used by investors, our management, and banking regulators to evaluate capital adequacy.</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Facilitates comparison of our earnings with the earnings of other banking organization with varying amounts of goodwill or intangible assets.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ratios that include Tangible Common Equity, such as:</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-Tangible Book Value Per Share, which is Tangible Common Equity divided by shares of common stock outstanding.</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-Return on Average Tangible Common Equity, which is net income divided by average Tangible Common Equity.</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-Adjusted Return on Average Tangible Common Equity, which is Adjusted Net Income divided by average Tangible Common Equity.</w:t>
            </w:r>
          </w:p>
        </w:tc>
      </w:tr>
      <w:tr>
        <w:trPr/>
        <w:tc>
          <w:tcPr>
            <w:tcW w:w="2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Core Deposits</w:t>
            </w:r>
          </w:p>
        </w:tc>
        <w:tc>
          <w:tcPr>
            <w:tcW w:w="3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Total deposits, excluding:</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-Time deposits of $250,000 or more, and</w:t>
            </w:r>
          </w:p>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-Brokered deposits</w:t>
            </w:r>
          </w:p>
        </w:tc>
        <w:tc>
          <w:tcPr>
            <w:tcW w:w="4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Provides investors with information regarding the stability of the Company’s sources of funds.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We also sometimes refer to the ratio of Core Deposits to total deposits.</w:t>
            </w:r>
          </w:p>
        </w:tc>
      </w:tr>
    </w:tbl>
    <w:p>
      <w:pPr>
        <w:pStyle w:val="TextBody"/>
        <w:bidi w:val="0"/>
        <w:spacing w:lineRule="auto" w:line="288" w:before="60" w:after="283"/>
        <w:ind w:left="0" w:right="0" w:hanging="18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(1)Tax-equivalent basis assuming a federal income tax rate of 21% and a state tax rate of 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Net Income and Adjusted Return on Average Assets</w:t>
      </w:r>
    </w:p>
    <w:tbl>
      <w:tblPr>
        <w:tblW w:w="8156" w:type="dxa"/>
        <w:jc w:val="left"/>
        <w:tblInd w:w="0" w:type="dxa"/>
        <w:tblLayout w:type="fixed"/>
        <w:tblCellMar>
          <w:top w:w="28" w:type="dxa"/>
          <w:left w:w="28" w:type="dxa"/>
          <w:bottom w:w="28" w:type="dxa"/>
          <w:right w:w="28" w:type="dxa"/>
        </w:tblCellMar>
      </w:tblPr>
      <w:tblGrid>
        <w:gridCol w:w="1527"/>
        <w:gridCol w:w="1341"/>
        <w:gridCol w:w="1346"/>
        <w:gridCol w:w="211"/>
        <w:gridCol w:w="976"/>
        <w:gridCol w:w="271"/>
        <w:gridCol w:w="109"/>
        <w:gridCol w:w="109"/>
        <w:gridCol w:w="109"/>
        <w:gridCol w:w="211"/>
        <w:gridCol w:w="976"/>
        <w:gridCol w:w="271"/>
        <w:gridCol w:w="109"/>
        <w:gridCol w:w="109"/>
        <w:gridCol w:w="109"/>
        <w:gridCol w:w="109"/>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adjustments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earnings (losses) on closed or sold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(losses) on closed branch premises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 servicing rights fair value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Tax effect of adjustments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adjustments after tax effect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5,713,444 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5,032,813 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Return on average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return on average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(1)Assumes a federal income tax rate of 21% and a state tax rate of 9.5%, and excludes non-deductible acquisition expenses.</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Earnings Per Share</w:t>
      </w:r>
    </w:p>
    <w:tbl>
      <w:tblPr>
        <w:tblW w:w="10205" w:type="dxa"/>
        <w:jc w:val="left"/>
        <w:tblInd w:w="0" w:type="dxa"/>
        <w:tblLayout w:type="fixed"/>
        <w:tblCellMar>
          <w:top w:w="28" w:type="dxa"/>
          <w:left w:w="28" w:type="dxa"/>
          <w:bottom w:w="28" w:type="dxa"/>
          <w:right w:w="28" w:type="dxa"/>
        </w:tblCellMar>
      </w:tblPr>
      <w:tblGrid>
        <w:gridCol w:w="2522"/>
        <w:gridCol w:w="2212"/>
        <w:gridCol w:w="2226"/>
        <w:gridCol w:w="222"/>
        <w:gridCol w:w="762"/>
        <w:gridCol w:w="114"/>
        <w:gridCol w:w="114"/>
        <w:gridCol w:w="114"/>
        <w:gridCol w:w="114"/>
        <w:gridCol w:w="222"/>
        <w:gridCol w:w="762"/>
        <w:gridCol w:w="114"/>
        <w:gridCol w:w="109"/>
        <w:gridCol w:w="109"/>
        <w:gridCol w:w="109"/>
        <w:gridCol w:w="109"/>
        <w:gridCol w:w="109"/>
        <w:gridCol w:w="162"/>
      </w:tblGrid>
      <w:tr>
        <w:trPr/>
        <w:tc>
          <w:tcPr>
            <w:tcW w:w="252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Numerator:</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Denominator:</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33,180,009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31,584,989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Dilutive effect of outstanding restricted stock units</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120,087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126,682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including all dilutive potential shares</w:t>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33,300,096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31,711,671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earnings per share - basic</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earnings per share - diluted</w:t>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Reconciliation of Non-GAAP Financial Measure —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Pre-Provision Net Revenue, Pre-Provision Net Revenue Less Charge-offs (Recoveries),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Adjusted Pre-Provision Net Revenue,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Adjusted Pre-Provision Net Revenue Less Charge-offs (Recoveries)</w:t>
      </w:r>
    </w:p>
    <w:tbl>
      <w:tblPr>
        <w:tblW w:w="9288" w:type="dxa"/>
        <w:jc w:val="center"/>
        <w:tblInd w:w="0" w:type="dxa"/>
        <w:tblLayout w:type="fixed"/>
        <w:tblCellMar>
          <w:top w:w="28" w:type="dxa"/>
          <w:left w:w="28" w:type="dxa"/>
          <w:bottom w:w="28" w:type="dxa"/>
          <w:right w:w="28" w:type="dxa"/>
        </w:tblCellMar>
      </w:tblPr>
      <w:tblGrid>
        <w:gridCol w:w="1774"/>
        <w:gridCol w:w="1555"/>
        <w:gridCol w:w="1561"/>
        <w:gridCol w:w="109"/>
        <w:gridCol w:w="109"/>
        <w:gridCol w:w="188"/>
        <w:gridCol w:w="188"/>
        <w:gridCol w:w="188"/>
        <w:gridCol w:w="188"/>
        <w:gridCol w:w="364"/>
        <w:gridCol w:w="1245"/>
        <w:gridCol w:w="188"/>
        <w:gridCol w:w="109"/>
        <w:gridCol w:w="109"/>
        <w:gridCol w:w="109"/>
        <w:gridCol w:w="211"/>
        <w:gridCol w:w="721"/>
        <w:gridCol w:w="109"/>
        <w:gridCol w:w="109"/>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56,387 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(52,437)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Pre-provision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14,894 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earnings (losses) on closed or sold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(losses) on closed branch premises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 servicing rights fair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(15,675)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pre-provision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30,569 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Pre-provision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Pre-provision net revenue less 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pre-provision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pre-provision net revenue less 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29,811 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Interest Income and Net Interest Margin (Tax-Equivalent Basis)</w:t>
      </w:r>
    </w:p>
    <w:tbl>
      <w:tblPr>
        <w:tblW w:w="7722" w:type="dxa"/>
        <w:jc w:val="left"/>
        <w:tblInd w:w="0" w:type="dxa"/>
        <w:tblLayout w:type="fixed"/>
        <w:tblCellMar>
          <w:top w:w="28" w:type="dxa"/>
          <w:left w:w="28" w:type="dxa"/>
          <w:bottom w:w="28" w:type="dxa"/>
          <w:right w:w="28" w:type="dxa"/>
        </w:tblCellMar>
      </w:tblPr>
      <w:tblGrid>
        <w:gridCol w:w="1370"/>
        <w:gridCol w:w="1203"/>
        <w:gridCol w:w="1207"/>
        <w:gridCol w:w="211"/>
        <w:gridCol w:w="976"/>
        <w:gridCol w:w="271"/>
        <w:gridCol w:w="109"/>
        <w:gridCol w:w="109"/>
        <w:gridCol w:w="109"/>
        <w:gridCol w:w="211"/>
        <w:gridCol w:w="976"/>
        <w:gridCol w:w="271"/>
        <w:gridCol w:w="109"/>
        <w:gridCol w:w="109"/>
        <w:gridCol w:w="109"/>
        <w:gridCol w:w="109"/>
        <w:gridCol w:w="109"/>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interest income (tax-equivalent basis)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Tax-equivalent adjustment </w:t>
            </w:r>
            <w:r>
              <w:rPr>
                <w:rFonts w:ascii="Arial;sans-serif" w:hAnsi="Arial;sans-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Net interest income (tax-equivalent basis) </w:t>
            </w:r>
            <w:r>
              <w:rPr>
                <w:rFonts w:ascii="Arial;sans-serif" w:hAnsi="Arial;sans-serif"/>
                <w:b w:val="false"/>
                <w:color w:val="000000"/>
                <w:sz w:val="12"/>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interest margin (tax-equivalent basis)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margin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Tax-equivalent adjustment *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Net interest margin (tax-equivalent basis) * </w:t>
            </w:r>
            <w:r>
              <w:rPr>
                <w:rFonts w:ascii="Arial;sans-serif" w:hAnsi="Arial;sans-serif"/>
                <w:b w:val="false"/>
                <w:color w:val="000000"/>
                <w:sz w:val="12"/>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Average interest-earning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5,444,413 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4,798,021 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(1)On a tax-equivalent basis assuming a federal income tax rate of 21% and a state tax rate of 9.5%.</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Efficiency Ratio (Tax-Equivalent Basis) and Adjusted Efficiency Ratio (Tax-Equivalent Basis)</w:t>
      </w:r>
    </w:p>
    <w:tbl>
      <w:tblPr>
        <w:tblW w:w="10154" w:type="dxa"/>
        <w:jc w:val="left"/>
        <w:tblInd w:w="0" w:type="dxa"/>
        <w:tblLayout w:type="fixed"/>
        <w:tblCellMar>
          <w:top w:w="28" w:type="dxa"/>
          <w:left w:w="28" w:type="dxa"/>
          <w:bottom w:w="28" w:type="dxa"/>
          <w:right w:w="28" w:type="dxa"/>
        </w:tblCellMar>
      </w:tblPr>
      <w:tblGrid>
        <w:gridCol w:w="2028"/>
        <w:gridCol w:w="1780"/>
        <w:gridCol w:w="1787"/>
        <w:gridCol w:w="109"/>
        <w:gridCol w:w="109"/>
        <w:gridCol w:w="195"/>
        <w:gridCol w:w="195"/>
        <w:gridCol w:w="378"/>
        <w:gridCol w:w="1294"/>
        <w:gridCol w:w="486"/>
        <w:gridCol w:w="109"/>
        <w:gridCol w:w="109"/>
        <w:gridCol w:w="109"/>
        <w:gridCol w:w="211"/>
        <w:gridCol w:w="721"/>
        <w:gridCol w:w="271"/>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793" w:type="dxa"/>
            <w:gridSpan w:val="8"/>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52,437 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Noninterest expense excluding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51,550 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adjustments to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15,666 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Expenses from closed or sold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adjustments to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15,815 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35,735 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56,387 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10,944 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67,331 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Tax-equivalent adjustment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Operating revenue (tax-equivalent basis)</w:t>
            </w:r>
            <w:r>
              <w:rPr>
                <w:color w:val="000000"/>
              </w:rPr>
              <w:t xml:space="preserve">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67,980 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adjustments to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 from closed or sold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Gains (losses) on closed branch premises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Mortgage servicing rights fair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adjustments to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 xml:space="preserve">Adjusted operating revenue (tax-equivalent basis)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67,840 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Efficiency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76.56 </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Efficiency ratio (tax-equivalent basis)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Adjusted efficiency ratio (tax-equivalent basis)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(1)On a tax-equivalent basis assuming a federal income tax rate of 21% and a state tax rate of 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605" cy="14605"/>
                <wp:effectExtent l="0" t="0" r="0" b="0"/>
                <wp:wrapNone/>
                <wp:docPr id="81" name="Frame8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Ratio of Tangible Common Equity to Tangible Assets and Tangible Book Value Per Share</w:t>
      </w:r>
    </w:p>
    <w:tbl>
      <w:tblPr>
        <w:tblW w:w="7004" w:type="dxa"/>
        <w:jc w:val="left"/>
        <w:tblInd w:w="0" w:type="dxa"/>
        <w:tblLayout w:type="fixed"/>
        <w:tblCellMar>
          <w:top w:w="28" w:type="dxa"/>
          <w:left w:w="28" w:type="dxa"/>
          <w:bottom w:w="28" w:type="dxa"/>
          <w:right w:w="28" w:type="dxa"/>
        </w:tblCellMar>
      </w:tblPr>
      <w:tblGrid>
        <w:gridCol w:w="1303"/>
        <w:gridCol w:w="1145"/>
        <w:gridCol w:w="1152"/>
        <w:gridCol w:w="211"/>
        <w:gridCol w:w="976"/>
        <w:gridCol w:w="271"/>
        <w:gridCol w:w="109"/>
        <w:gridCol w:w="109"/>
        <w:gridCol w:w="109"/>
        <w:gridCol w:w="227"/>
        <w:gridCol w:w="1052"/>
        <w:gridCol w:w="340"/>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Tangible Common Equity</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615,498 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59,820 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Tangible common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540,561 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Tangible Assets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6,773,724 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5,071,390 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59,820 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6,645,258 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4,996,453 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 to total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12.14 </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Tangible common equity to 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of common stock outstanding</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36,381,078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31,431,924</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Tangible book value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Reconciliation of Non-GAAP Financial Measure —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Return on Average Tangible Common Equity, Adjusted Return on Average Stockholders’ Equity, and Adjusted Return on Average Tangible Common Equity</w:t>
      </w:r>
    </w:p>
    <w:tbl>
      <w:tblPr>
        <w:tblW w:w="8097" w:type="dxa"/>
        <w:jc w:val="left"/>
        <w:tblInd w:w="0" w:type="dxa"/>
        <w:tblLayout w:type="fixed"/>
        <w:tblCellMar>
          <w:top w:w="28" w:type="dxa"/>
          <w:left w:w="28" w:type="dxa"/>
          <w:bottom w:w="28" w:type="dxa"/>
          <w:right w:w="28" w:type="dxa"/>
        </w:tblCellMar>
      </w:tblPr>
      <w:tblGrid>
        <w:gridCol w:w="1615"/>
        <w:gridCol w:w="1418"/>
        <w:gridCol w:w="1422"/>
        <w:gridCol w:w="211"/>
        <w:gridCol w:w="826"/>
        <w:gridCol w:w="271"/>
        <w:gridCol w:w="109"/>
        <w:gridCol w:w="109"/>
        <w:gridCol w:w="109"/>
        <w:gridCol w:w="211"/>
        <w:gridCol w:w="826"/>
        <w:gridCol w:w="271"/>
        <w:gridCol w:w="109"/>
        <w:gridCol w:w="109"/>
        <w:gridCol w:w="109"/>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Average Tangible Common Equity</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Average tangible common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577,208 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477,415 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Return on average stockholders'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Return on average tangible common equity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return on average stockholders' equity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return on average tangible common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Annualized measure.</w:t>
      </w:r>
    </w:p>
    <w:p>
      <w:pPr>
        <w:pStyle w:val="TextBody"/>
        <w:bidi w:val="0"/>
        <w:spacing w:before="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360"/>
        <w:jc w:val="center"/>
        <w:rPr>
          <w:rFonts w:ascii="Arial;sans-serif" w:hAnsi="Arial;sans-serif"/>
          <w:b/>
          <w:color w:val="000000"/>
          <w:sz w:val="20"/>
        </w:rPr>
      </w:pPr>
      <w:r>
        <w:rPr>
          <w:rFonts w:ascii="Arial;sans-serif" w:hAnsi="Arial;sans-serif"/>
          <w:b/>
          <w:color w:val="000000"/>
          <w:sz w:val="20"/>
        </w:rPr>
        <w:t>Reconciliation of Non-GAAP Financial Measure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Core Deposits</w:t>
      </w:r>
    </w:p>
    <w:tbl>
      <w:tblPr>
        <w:tblW w:w="6779" w:type="dxa"/>
        <w:jc w:val="left"/>
        <w:tblInd w:w="0" w:type="dxa"/>
        <w:tblLayout w:type="fixed"/>
        <w:tblCellMar>
          <w:top w:w="28" w:type="dxa"/>
          <w:left w:w="28" w:type="dxa"/>
          <w:bottom w:w="28" w:type="dxa"/>
          <w:right w:w="28" w:type="dxa"/>
        </w:tblCellMar>
      </w:tblPr>
      <w:tblGrid>
        <w:gridCol w:w="1223"/>
        <w:gridCol w:w="1074"/>
        <w:gridCol w:w="1078"/>
        <w:gridCol w:w="211"/>
        <w:gridCol w:w="976"/>
        <w:gridCol w:w="271"/>
        <w:gridCol w:w="109"/>
        <w:gridCol w:w="109"/>
        <w:gridCol w:w="109"/>
        <w:gridCol w:w="227"/>
        <w:gridCol w:w="1052"/>
        <w:gridCol w:w="340"/>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Core Deposits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4,359,263 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time deposits of $250,000 or more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201,365 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brokered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Core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5,425,094 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4,157,898 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Core deposits to total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95.38 </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Managing risk is an essential part of successfully managing a financial institution. Our most prominent risk exposures are interest rate risk and credit risk.</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most significant form of market risk is interest rate risk inherent in the normal course of lending and deposit-taking activities. Interest rate risk is the potential reduction of net interest income as a result of changes in interest rates. Management believes that our ability to successfully respond to changes in interest rates will have a significant impact on our financial results. To that end, management actively monitors and manages our interest rate exposure.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Asset/Liability Management Committee (“ALCO”), which is authorized by the Company’s board of directors, monitors our interest rate sensitivity and makes decisions relating to that process. The ALCO’s goal is to structure our asset/liability composition to maximize net interest income while managing interest rate risk so as to minimize the adverse impact of changes in interest rates on net interest income and capital in either a rising or declining interest rate environment. Profitability is affected by fluctuations in interest rates. A sudden and substantial change in interest rates may adversely impact our earnings because the interest rates borne by assets and liabilities do not change at the same speed, to the same extent or on the same basis.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monitor the impact of changes in interest rates on our net interest income and economic value of equity (“EVE”) using rate shock analysis. Net interest income simulations measure the short-term earnings exposure from changes in market rates of interest in a rigorous and explicit fashion. Our current financial position is combined with assumptions regarding future business to calculate net interest income under varying hypothetical rate scenarios. EVE measures our long-term earnings exposure from changes in market rates of interest. EVE is defined as the present value of assets minus the present value of liabilities at a point in time. A decrease in EVE due to a specified rate change indicates a decline in the long-term earnings capacity of the balance sheet assuming that the rate change remains in effect over the life of the current balance sheet.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base and shock scenarios in the rate shock analysis assume a static balance sheet, static interest rates, no changes to product mix shift, and cash flow reinvestment at current market interest rates. We also make assumptions for our deposit betas and asset prepayments, based on historical experience.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Deposit Betas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Deposit pricing changes are primarily driven by changes in the federal funds rate, with the relationship between deposit rates and federal funds rate defined as deposit beta. We define cumulative deposit beta as the change in our quarterly cost of deposits divided by the change in the upper level of the stated federal funds rate range over a specified period. During the most recent rising rate cycle, which was from the fourth quarter of 2021 through the second quarter of 2024, our cumulative deposit beta was 23.6%. Since the start of the current falling rate cycle, which began with the third quarter of 2024, our cumulative deposit beta has been 10.7%.</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 Prepayments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include prepayment assumptions for both our loan and securities portfolios, based on historical experience. Generally, mortgage portfolio prepayments increase in lower rate environments, while commercial and consumer portfolios have historically remained more consistent throughout rate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estimated impact on our EVE and net interest income of immediate and parallel changes in interest rates at the specified levels.</w:t>
      </w:r>
    </w:p>
    <w:tbl>
      <w:tblPr>
        <w:tblW w:w="8386" w:type="dxa"/>
        <w:jc w:val="left"/>
        <w:tblInd w:w="0" w:type="dxa"/>
        <w:tblLayout w:type="fixed"/>
        <w:tblCellMar>
          <w:top w:w="28" w:type="dxa"/>
          <w:left w:w="28" w:type="dxa"/>
          <w:bottom w:w="28" w:type="dxa"/>
          <w:right w:w="28" w:type="dxa"/>
        </w:tblCellMar>
      </w:tblPr>
      <w:tblGrid>
        <w:gridCol w:w="1160"/>
        <w:gridCol w:w="1020"/>
        <w:gridCol w:w="1029"/>
        <w:gridCol w:w="109"/>
        <w:gridCol w:w="109"/>
        <w:gridCol w:w="109"/>
        <w:gridCol w:w="365"/>
        <w:gridCol w:w="365"/>
        <w:gridCol w:w="964"/>
        <w:gridCol w:w="109"/>
        <w:gridCol w:w="109"/>
        <w:gridCol w:w="109"/>
        <w:gridCol w:w="248"/>
        <w:gridCol w:w="248"/>
        <w:gridCol w:w="525"/>
        <w:gridCol w:w="200"/>
        <w:gridCol w:w="200"/>
        <w:gridCol w:w="200"/>
        <w:gridCol w:w="299"/>
        <w:gridCol w:w="301"/>
        <w:gridCol w:w="608"/>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32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Change in Interest Rates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Estimated </w:t>
              <w:br/>
              <w:t xml:space="preserve">Increase (Decrease) </w:t>
              <w:br/>
              <w:t>in EVE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Increase (Decrease) in</w:t>
              <w:br/>
              <w:t>Estimated Net Interest Income</w:t>
            </w:r>
          </w:p>
        </w:tc>
      </w:tr>
      <w:tr>
        <w:trPr/>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1</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2</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9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9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Certain shortcomings are inherent in the methodology used in the above interest rate risk measurements. Modeling changes in EVE and net interest income requires that we make certain assumptions that may or may not reflect the manner in which actual yields and costs respond to changes in market interest rates. The EVE and net interest income table presented above assumes that the composition of our interest-rate-sensitive assets and liabilities existing at the beginning of a period remains constant over the period being measured and, accordingly, the data does not reflect any actions that we may undertake in response to changes in interest rates, such as changes in rates paid on certain deposit accounts based on local competitive factors, which could change the actual impact on EVE and net interest income. The table also assumes that a particular change in interest rates is reflected uniformly across the yield curve regardless of the duration to maturity or the repricing characteristics of specific assets and liabilities. Accordingly, although the EVE and net interest income table provides an indication of our sensitivity to interest rate changes at a particular point in time, such measurements are not intended to and do not provide a precise forecast of the effect of changes in market interest rates on our net interest income and will differ from actual results.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Credit risk is the risk that borrowers or counterparties will be unable or unwilling to repay their obligations in accordance with the underlying contractual terms. We manage credit risk in the loan portfolio by adhering to well-defined underwriting criteria and account administration standards established by management. Our loan policy documents underwriting standards, approval levels, exposure limits and other limits or standards deemed necessary and prudent. Portfolio diversification at the borrower, industry, and product levels is actively managed to mitigate concentration risk. In addition, credit risk management also includes an independent loan review process that assesses compliance with loan policy, compliance with loan documentation standards, accuracy of the risk rating and overall credit quality of the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An evaluation of the Company’s disclosure controls and procedures (as defined in Rule 13a-15(e) or Rule 15d-15(e) under the Exchange Act) as of the end of the period covered by this report was carried out under the supervision and with the participation of the Company’s Chief Executive Officer, Chief Financial Officer and other members of the Company’s senior management. The Company’s Chief Executive Officer and Chief Financial Officer concluded that, as of March 31, 2026, the end of the period covered by this report, the Company’s disclosure controls and procedures were effective in ensuring that the information required to be disclosed by the Company in the reports it files or submits under the Exchange Act is: (i) accumulated and communicated to the Company’s management (including the Chief Executive Officer and Chief Financial Officer) to allow timely decisions regarding required disclosure; and (ii) recorded, processed, summarized and reported within the time periods specified in the SEC’s rules and forms.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or Rule 15d-15(f) under the Exchange Act) that occurred during the quarter ended March 31,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sometimes party to legal actions that are routine and incidental to our business. Management, in consultation with legal counsel, does not expect the ultimate disposition of any or a combination of these matters to have a material adverse effect on our assets, business, cash flow, financial condition, liquidity, prospects and results of operations;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under the heading “Risk Factors” in our Annual Report on Form 10-K for the year ended December 31, 2025, filed with the SEC on March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2.    UNREGISTERED SALES OF EQUITY SECURITIES, USE OF PROCEEDS, AND ISSUER PURCHASES OF EQUITY SECURITIES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Unregistered Sales of 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December 16, 2025, the Company’s board of directors approved a stock repurchase program that authorizes the Company to repurchase up to $30.0 million of its common stock. The stock repurchase program will be in effect until January 1, 2027, with the timing of purchases and number of shares repurchased dependent upon a variety of factors including price, trading volume, corporate and regulatory requirements, and market conditions. The Company is not obligated to purchase any shares under the stock repurchase program, and the stock repurchase program may be suspended or discontinued at any time without notice.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about the Company’s purchases of its common stock during the first quarter of 2026:</w:t>
      </w:r>
    </w:p>
    <w:tbl>
      <w:tblPr>
        <w:tblW w:w="10205" w:type="dxa"/>
        <w:jc w:val="left"/>
        <w:tblInd w:w="0" w:type="dxa"/>
        <w:tblLayout w:type="fixed"/>
        <w:tblCellMar>
          <w:top w:w="28" w:type="dxa"/>
          <w:left w:w="28" w:type="dxa"/>
          <w:bottom w:w="28" w:type="dxa"/>
          <w:right w:w="28" w:type="dxa"/>
        </w:tblCellMar>
      </w:tblPr>
      <w:tblGrid>
        <w:gridCol w:w="707"/>
        <w:gridCol w:w="621"/>
        <w:gridCol w:w="626"/>
        <w:gridCol w:w="109"/>
        <w:gridCol w:w="109"/>
        <w:gridCol w:w="109"/>
        <w:gridCol w:w="392"/>
        <w:gridCol w:w="392"/>
        <w:gridCol w:w="394"/>
        <w:gridCol w:w="109"/>
        <w:gridCol w:w="109"/>
        <w:gridCol w:w="109"/>
        <w:gridCol w:w="211"/>
        <w:gridCol w:w="646"/>
        <w:gridCol w:w="109"/>
        <w:gridCol w:w="109"/>
        <w:gridCol w:w="109"/>
        <w:gridCol w:w="109"/>
        <w:gridCol w:w="651"/>
        <w:gridCol w:w="651"/>
        <w:gridCol w:w="653"/>
        <w:gridCol w:w="109"/>
        <w:gridCol w:w="109"/>
        <w:gridCol w:w="109"/>
        <w:gridCol w:w="535"/>
        <w:gridCol w:w="1911"/>
        <w:gridCol w:w="398"/>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 Shares</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Approximate Dollar Value of</w:t>
              <w:br/>
              <w:t>Shares That May Yet be Purchased</w:t>
              <w:br/>
              <w:t> Under the Plans or Programs</w:t>
              <w:br/>
              <w:t>(in thousands)</w:t>
            </w:r>
          </w:p>
        </w:tc>
      </w:tr>
      <w:tr>
        <w:trPr/>
        <w:tc>
          <w:tcPr>
            <w:tcW w:w="1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14,422 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14,422 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662"/>
        <w:gridCol w:w="2653"/>
        <w:gridCol w:w="3771"/>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Indenture, dated March 11, 2026, by and between HBT Financial, Inc. and UMB Bank, N.A., as trustee (incorporated by reference to Exhibit 4.1 to the Company’s Current Report on Form 8-K, filed with the Commission on March 11, 2026).</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80"/>
                  <w:sz w:val="20"/>
                  <w:u w:val="single"/>
                </w:rPr>
                <w:t>Forms of 5.75% Fixed-to-Floating Rate Subordinated Note due 2036 (incorporated by reference to Exhibit 4.</w:t>
              </w:r>
            </w:hyperlink>
            <w:hyperlink r:id="rId4">
              <w:r>
                <w:rPr>
                  <w:rStyle w:val="InternetLink"/>
                  <w:rFonts w:ascii="Arial;sans-serif" w:hAnsi="Arial;sans-serif"/>
                  <w:b w:val="false"/>
                  <w:color w:val="000080"/>
                  <w:sz w:val="20"/>
                  <w:u w:val="single"/>
                </w:rPr>
                <w:t>2</w:t>
              </w:r>
            </w:hyperlink>
            <w:hyperlink r:id="rId5">
              <w:r>
                <w:rPr>
                  <w:rStyle w:val="InternetLink"/>
                  <w:rFonts w:ascii="Arial;sans-serif" w:hAnsi="Arial;sans-serif"/>
                  <w:b w:val="false"/>
                  <w:color w:val="000080"/>
                  <w:sz w:val="20"/>
                  <w:u w:val="single"/>
                </w:rPr>
                <w:t xml:space="preserve"> to the Company’s Current Report on Form 8-K, filed with the Commission on March 11, 2026).</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20"/>
                  <w:u w:val="single"/>
                </w:rPr>
                <w:t>Subordinated Note Purchase Agreement, dated March 11, 2026, by and among HBT Financial, Inc. and the Purchasers (incorporated by reference to Exhibit 10.1 to the Company’s Current Report on Form 8-K, filed with the Commission on March 11, 2026).</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20"/>
                  <w:u w:val="single"/>
                </w:rPr>
                <w:t>Form of Registration Rights Agreement, dated March 11, 2026, by and among HBT Financial, Inc. and the Purchasers (incorporated by reference to Exhibit 10.2 to the Company’s Current Report on Form 8-K, filed with the Commission on March 11, 2026).</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103.htm">
              <w:r>
                <w:rPr>
                  <w:rStyle w:val="InternetLink"/>
                  <w:rFonts w:ascii="Arial;sans-serif" w:hAnsi="Arial;sans-serif"/>
                  <w:b w:val="false"/>
                  <w:color w:val="0000FF"/>
                  <w:sz w:val="20"/>
                  <w:u w:val="single"/>
                </w:rPr>
                <w:t>Amendment to the Amended and Restated Employment Agreement, dated March 13, 2026, by and between the Company, the Bank, and Fred L. Drake</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104.htm">
              <w:r>
                <w:rPr>
                  <w:rStyle w:val="InternetLink"/>
                  <w:rFonts w:ascii="Arial;sans-serif" w:hAnsi="Arial;sans-serif"/>
                  <w:b w:val="false"/>
                  <w:color w:val="0000FF"/>
                  <w:sz w:val="20"/>
                  <w:u w:val="single"/>
                </w:rPr>
                <w:t>Amendment to the Amended and Restated Employment Agreement, dated March 13, 2026, by and between the Company, the Bank, and J. Lance Carter</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105.htm">
              <w:r>
                <w:rPr>
                  <w:rStyle w:val="InternetLink"/>
                  <w:rFonts w:ascii="Arial;sans-serif" w:hAnsi="Arial;sans-serif"/>
                  <w:b w:val="false"/>
                  <w:color w:val="0000FF"/>
                  <w:sz w:val="20"/>
                  <w:u w:val="single"/>
                </w:rPr>
                <w:t>Amendment to the Amended and Restated Employment Agreement, dated March 13, 2026, by and between the Company, the Bank, and Peter Chapman</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106.htm">
              <w:r>
                <w:rPr>
                  <w:rStyle w:val="InternetLink"/>
                  <w:rFonts w:ascii="Arial;sans-serif" w:hAnsi="Arial;sans-serif"/>
                  <w:b w:val="false"/>
                  <w:color w:val="0000FF"/>
                  <w:sz w:val="20"/>
                  <w:u w:val="single"/>
                </w:rPr>
                <w:t>Amendment to the Amended and Restated Employment Agreement, dated March 13, 2026, by and between the Company, the Bank, and Lawrence J. Horvath</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107.htm">
              <w:r>
                <w:rPr>
                  <w:rStyle w:val="InternetLink"/>
                  <w:rFonts w:ascii="Arial;sans-serif" w:hAnsi="Arial;sans-serif"/>
                  <w:b w:val="false"/>
                  <w:color w:val="0000FF"/>
                  <w:sz w:val="20"/>
                  <w:u w:val="single"/>
                </w:rPr>
                <w:t>Amendment to the Amended and Restated Employment Agreement, dated March 13, 2026, by and between the Company, the Bank, and Mark W. Scheirer</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311.htm">
              <w:r>
                <w:rPr>
                  <w:rStyle w:val="InternetLink"/>
                  <w:rFonts w:ascii="Arial;sans-serif" w:hAnsi="Arial;sans-serif"/>
                  <w:b w:val="false"/>
                  <w:color w:val="0000FF"/>
                  <w:sz w:val="20"/>
                  <w:u w:val="single"/>
                </w:rPr>
                <w:t>Certification of the Chief Executive Officer pursuant to Rule 13a-14(a).</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312.htm">
              <w:r>
                <w:rPr>
                  <w:rStyle w:val="InternetLink"/>
                  <w:rFonts w:ascii="Arial;sans-serif" w:hAnsi="Arial;sans-serif"/>
                  <w:b w:val="false"/>
                  <w:color w:val="0000FF"/>
                  <w:sz w:val="20"/>
                  <w:u w:val="single"/>
                </w:rPr>
                <w:t>Certification of the Chief Financial Officer pursuant to Rule 13a-14(a).</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321.htm">
              <w:r>
                <w:rPr>
                  <w:rStyle w:val="InternetLink"/>
                  <w:rFonts w:ascii="Arial;sans-serif" w:hAnsi="Arial;sans-serif"/>
                  <w:b w:val="false"/>
                  <w:color w:val="0000FF"/>
                  <w:sz w:val="20"/>
                  <w:u w:val="single"/>
                </w:rPr>
                <w:t>Certification of the Chief Executive Officer pursuant to 18 U.S.C. 1350.</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bt-20260331xex322.htm">
              <w:r>
                <w:rPr>
                  <w:rStyle w:val="InternetLink"/>
                  <w:rFonts w:ascii="Arial;sans-serif" w:hAnsi="Arial;sans-serif"/>
                  <w:b w:val="false"/>
                  <w:color w:val="0000FF"/>
                  <w:sz w:val="20"/>
                  <w:u w:val="single"/>
                </w:rPr>
                <w:t>Certification of the Chief Financial Officer pursuant to 18 U.S.C. 1350.</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*This exhibit shall not be deemed “filed” for purposes of Section 18 of the Exchange Act, and shall not be deemed to be incorporated by reference into any filing under the Securities Act of 1933, as amended, or the Exchange Act, except to the extent the Company specifically incorporates it by reference.</w:t>
      </w:r>
    </w:p>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A management contract or compensatory plan or arrangement required to be filed as an exhibit pursuant to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86ec5df462843048e56dc1be32f7dbe_16">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83" w:type="dxa"/>
        <w:jc w:val="left"/>
        <w:tblInd w:w="0" w:type="dxa"/>
        <w:tblLayout w:type="fixed"/>
        <w:tblCellMar>
          <w:top w:w="28" w:type="dxa"/>
          <w:left w:w="28" w:type="dxa"/>
          <w:bottom w:w="28" w:type="dxa"/>
          <w:right w:w="28" w:type="dxa"/>
        </w:tblCellMar>
      </w:tblPr>
      <w:tblGrid>
        <w:gridCol w:w="433"/>
        <w:gridCol w:w="382"/>
        <w:gridCol w:w="384"/>
        <w:gridCol w:w="330"/>
        <w:gridCol w:w="330"/>
        <w:gridCol w:w="330"/>
        <w:gridCol w:w="1536"/>
        <w:gridCol w:w="1536"/>
        <w:gridCol w:w="2222"/>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HBT FINANCIAL, INC.</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6, 2026</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Peter R. Chapman</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Peter R. Chapman</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(on behalf of the registrant and as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Mr. Fred Drake</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405 N. Hershey Rd.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Bloomington, IL 61704</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Re: Extension of Executive Employment Agreement</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Dear Mr. Drake,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HBT Financial, Inc., (the “Compensation Committee”), met in February, to review your performance and after determining satisfactory performance, approved the extension of your executive contract for one year and a new base salary.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Attached is Exhibit 1, to your Amendment to Amended and Restate Employment Agreement dated March 15, 2024, which extends the Initial Expiration Date by one year and increases your Base Salary, as approved by the Compensation Committee. If you agree with the terms as set forth in Exhibit 1, please sign this letter.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Chairman, Compensation Committee, HBT Financial, Inc.</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 Lance Carter </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CEO, HBT Financial, Inc., and Heartland Bank and Trust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Fred Drake</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Fred Drake, Executive Chairman, HBT Financial, Inc., and Heartland Bank and Trust Company</w:t>
      </w:r>
    </w:p>
    <w:p>
      <w:pPr>
        <w:pStyle w:val="TextBody"/>
        <w:bidi w:val="0"/>
        <w:spacing w:before="0" w:after="160"/>
        <w:jc w:val="left"/>
        <w:rPr/>
      </w:pPr>
      <w:r>
        <w:rPr/>
      </w:r>
    </w:p>
    <w:p>
      <w:pPr>
        <w:pStyle w:val="TextBody"/>
        <w:bidi w:val="0"/>
        <w:spacing w:lineRule="auto" w:line="297" w:before="0" w:after="16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Date: 3/13/2026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1</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(Modifies Exhibit A Amendment to Amended and Restated Employment Agreement)</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Fred L. Drake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March 2, 2026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Position</w:t>
      </w:r>
      <w:r>
        <w:rPr>
          <w:color w:val="000000"/>
        </w:rPr>
        <w:t>”</w:t>
      </w:r>
      <w:r>
        <w:rPr>
          <w:rFonts w:ascii="Times New Roman;serif" w:hAnsi="Times New Roman;serif"/>
          <w:b w:val="false"/>
          <w:color w:val="000000"/>
          <w:sz w:val="22"/>
        </w:rPr>
        <w:t xml:space="preserve">: Executive Chairman of HBT Financial, Inc. and Executive Chairman of Heartland Bank and Trust Company (expected time commitment of 75% while serving as Executive Chairman)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Initial Expiration Date</w:t>
      </w:r>
      <w:r>
        <w:rPr>
          <w:color w:val="000000"/>
        </w:rPr>
        <w:t>”</w:t>
      </w:r>
      <w:r>
        <w:rPr>
          <w:rFonts w:ascii="Times New Roman;serif" w:hAnsi="Times New Roman;serif"/>
          <w:b w:val="false"/>
          <w:color w:val="000000"/>
          <w:sz w:val="22"/>
        </w:rPr>
        <w:t>: December 31, 2028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Reporting Person</w:t>
      </w:r>
      <w:r>
        <w:rPr>
          <w:color w:val="000000"/>
        </w:rPr>
        <w:t>”</w:t>
      </w:r>
      <w:r>
        <w:rPr>
          <w:rFonts w:ascii="Times New Roman;serif" w:hAnsi="Times New Roman;serif"/>
          <w:b w:val="false"/>
          <w:color w:val="000000"/>
          <w:sz w:val="22"/>
        </w:rPr>
        <w:t>:    Board of Directors of HBT Financial, Inc.</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Location of Employment</w:t>
      </w:r>
      <w:r>
        <w:rPr>
          <w:color w:val="000000"/>
        </w:rPr>
        <w:t>”</w:t>
      </w:r>
      <w:r>
        <w:rPr>
          <w:rFonts w:ascii="Times New Roman;serif" w:hAnsi="Times New Roman;serif"/>
          <w:b w:val="false"/>
          <w:color w:val="000000"/>
          <w:sz w:val="22"/>
        </w:rPr>
        <w:t>:     Principal headquarters of HBT Financial, Inc.</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$357,000</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Target Bonus</w:t>
      </w:r>
      <w:r>
        <w:rPr>
          <w:color w:val="000000"/>
        </w:rPr>
        <w:t>”</w:t>
      </w:r>
      <w:r>
        <w:rPr>
          <w:rFonts w:ascii="Times New Roman;serif" w:hAnsi="Times New Roman;serif"/>
          <w:b w:val="false"/>
          <w:color w:val="000000"/>
          <w:sz w:val="22"/>
        </w:rPr>
        <w:t xml:space="preserve">: 40% of Base Salary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LTI Awards Target</w:t>
      </w:r>
      <w:r>
        <w:rPr>
          <w:color w:val="000000"/>
        </w:rPr>
        <w:t>”</w:t>
      </w:r>
      <w:r>
        <w:rPr>
          <w:rFonts w:ascii="Times New Roman;serif" w:hAnsi="Times New Roman;serif"/>
          <w:b w:val="false"/>
          <w:color w:val="000000"/>
          <w:sz w:val="22"/>
        </w:rPr>
        <w:t xml:space="preserve">: 40% of Base Salary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PTO Days</w:t>
      </w:r>
      <w:r>
        <w:rPr>
          <w:color w:val="000000"/>
        </w:rPr>
        <w:t>”</w:t>
      </w:r>
      <w:r>
        <w:rPr>
          <w:rFonts w:ascii="Times New Roman;serif" w:hAnsi="Times New Roman;serif"/>
          <w:b w:val="false"/>
          <w:color w:val="000000"/>
          <w:sz w:val="22"/>
        </w:rPr>
        <w:t>: 28 days (which includes vacation, personal, and sick days)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Outside Covered Period Severance Months</w:t>
      </w:r>
      <w:r>
        <w:rPr>
          <w:color w:val="000000"/>
        </w:rPr>
        <w:t>”</w:t>
      </w:r>
      <w:r>
        <w:rPr>
          <w:rFonts w:ascii="Times New Roman;serif" w:hAnsi="Times New Roman;serif"/>
          <w:b w:val="false"/>
          <w:color w:val="000000"/>
          <w:sz w:val="22"/>
        </w:rPr>
        <w:t>: 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Period Severance Amount</w:t>
      </w:r>
      <w:r>
        <w:rPr>
          <w:color w:val="000000"/>
        </w:rPr>
        <w:t>”</w:t>
      </w:r>
      <w:r>
        <w:rPr>
          <w:rFonts w:ascii="Times New Roman;serif" w:hAnsi="Times New Roman;serif"/>
          <w:b w:val="false"/>
          <w:color w:val="000000"/>
          <w:sz w:val="22"/>
        </w:rPr>
        <w:t xml:space="preserve">: 2 times the sum of Base Salary and Target Bonus for the year in which Involuntary Termination occurs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COBRA Months</w:t>
      </w:r>
      <w:r>
        <w:rPr>
          <w:color w:val="000000"/>
        </w:rPr>
        <w:t>”</w:t>
      </w:r>
      <w:r>
        <w:rPr>
          <w:rFonts w:ascii="Times New Roman;serif" w:hAnsi="Times New Roman;serif"/>
          <w:b w:val="false"/>
          <w:color w:val="000000"/>
          <w:sz w:val="22"/>
        </w:rPr>
        <w:t>: 18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6 months following your Involuntary Termination outside of a Covered Period or your Termination due to your Disability inside or outside of a Covered Period; 12 months following your Termination initiated by HBT and Heartland for Cause or by you without Good Reason (including non-extension of the Employment Period by you in accordance with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 in each case either inside or outside of a Covered Period; or 24 months following your Involuntary Termination inside of a Covered Period</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Mr.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405 N. Hershey Rd.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Bloomington, IL 61704</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Re: Extension of Executive Employment Agreement</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Dear Mr. Carter,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HBT Financial, Inc., (the “Compensation Committee”), met in February, to review your performance and after determining satisfactory performance, approved the extension of your executive contract for one year and a new base salary.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Attached is Exhibit 1, to your Amendment to Amended and Restated Employment Agreement dated March 15, 2024, which extends the Initial Expiration Date by one year and increases your Base Salary, as approved by the Compensation Committee. If you agree with the terms as set forth in Exhibit 1, please sign this letter.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Chairman Compensation Committee, HBT Financial Inc.</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Fred Drake</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Fred Drake</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Executive Chairman, HBT Financial, Inc., and Heartland Bank and Trust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J. Lance Carter, President and CEO, HBT Financial, Inc., and Heartland Bank and Trust Company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Date: 3/13/2026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1</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J. Lance Carter</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March 2, 2026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Position</w:t>
      </w:r>
      <w:r>
        <w:rPr>
          <w:color w:val="000000"/>
        </w:rPr>
        <w:t>”</w:t>
      </w:r>
      <w:r>
        <w:rPr>
          <w:rFonts w:ascii="Times New Roman;serif" w:hAnsi="Times New Roman;serif"/>
          <w:b w:val="false"/>
          <w:color w:val="000000"/>
          <w:sz w:val="22"/>
        </w:rPr>
        <w:t>: President and Chief Executive Officer of HBT Financial, Inc. and Heartland Bank and Trust Company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Initial Expiration Date</w:t>
      </w:r>
      <w:r>
        <w:rPr>
          <w:color w:val="000000"/>
        </w:rPr>
        <w:t>”</w:t>
      </w:r>
      <w:r>
        <w:rPr>
          <w:rFonts w:ascii="Times New Roman;serif" w:hAnsi="Times New Roman;serif"/>
          <w:b w:val="false"/>
          <w:color w:val="000000"/>
          <w:sz w:val="22"/>
        </w:rPr>
        <w:t>: December 31, 2028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Reporting Person</w:t>
      </w:r>
      <w:r>
        <w:rPr>
          <w:color w:val="000000"/>
        </w:rPr>
        <w:t>”</w:t>
      </w:r>
      <w:r>
        <w:rPr>
          <w:rFonts w:ascii="Times New Roman;serif" w:hAnsi="Times New Roman;serif"/>
          <w:b w:val="false"/>
          <w:color w:val="000000"/>
          <w:sz w:val="22"/>
        </w:rPr>
        <w:t>:    Executive Chairman and Board of Directors of HBT Financial, Inc.</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Location of Employment</w:t>
      </w:r>
      <w:r>
        <w:rPr>
          <w:color w:val="000000"/>
        </w:rPr>
        <w:t>”</w:t>
      </w:r>
      <w:r>
        <w:rPr>
          <w:rFonts w:ascii="Times New Roman;serif" w:hAnsi="Times New Roman;serif"/>
          <w:b w:val="false"/>
          <w:color w:val="000000"/>
          <w:sz w:val="22"/>
        </w:rPr>
        <w:t>:     Principal headquarters of HBT Financial, Inc.</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Base Salary</w:t>
      </w:r>
      <w:r>
        <w:rPr>
          <w:rFonts w:ascii="Times New Roman;serif" w:hAnsi="Times New Roman;serif"/>
          <w:b w:val="false"/>
          <w:color w:val="000000"/>
          <w:sz w:val="22"/>
        </w:rPr>
        <w:t>: $602,596</w:t>
      </w:r>
    </w:p>
    <w:p>
      <w:pPr>
        <w:pStyle w:val="TextBody"/>
        <w:bidi w:val="0"/>
        <w:spacing w:lineRule="auto" w:line="300" w:before="0" w:after="240"/>
        <w:jc w:val="both"/>
        <w:rPr/>
      </w:pPr>
      <w:r>
        <w:rPr>
          <w:color w:val="000000"/>
        </w:rPr>
        <w:t>“</w:t>
      </w:r>
      <w:r>
        <w:rPr>
          <w:rFonts w:ascii="Times New Roman;serif" w:hAnsi="Times New Roman;serif"/>
          <w:b w:val="false"/>
          <w:color w:val="000000"/>
          <w:sz w:val="22"/>
          <w:u w:val="single"/>
        </w:rPr>
        <w:t>Target Bonus</w:t>
      </w:r>
      <w:r>
        <w:rPr>
          <w:color w:val="000000"/>
        </w:rPr>
        <w:t>”</w:t>
      </w:r>
      <w:r>
        <w:rPr>
          <w:rFonts w:ascii="Times New Roman;serif" w:hAnsi="Times New Roman;serif"/>
          <w:b w:val="false"/>
          <w:color w:val="000000"/>
          <w:sz w:val="22"/>
        </w:rPr>
        <w:t xml:space="preserve">: 50% of Base Salary </w:t>
      </w:r>
    </w:p>
    <w:p>
      <w:pPr>
        <w:pStyle w:val="TextBody"/>
        <w:bidi w:val="0"/>
        <w:spacing w:lineRule="auto" w:line="300" w:before="0" w:after="240"/>
        <w:jc w:val="both"/>
        <w:rPr/>
      </w:pPr>
      <w:r>
        <w:rPr>
          <w:color w:val="000000"/>
        </w:rPr>
        <w:t>“</w:t>
      </w:r>
      <w:r>
        <w:rPr>
          <w:rFonts w:ascii="Times New Roman;serif" w:hAnsi="Times New Roman;serif"/>
          <w:b w:val="false"/>
          <w:color w:val="000000"/>
          <w:sz w:val="22"/>
          <w:u w:val="single"/>
        </w:rPr>
        <w:t>Annual LTI Awards Target</w:t>
      </w:r>
      <w:r>
        <w:rPr>
          <w:color w:val="000000"/>
        </w:rPr>
        <w:t>”</w:t>
      </w:r>
      <w:r>
        <w:rPr>
          <w:rFonts w:ascii="Times New Roman;serif" w:hAnsi="Times New Roman;serif"/>
          <w:b w:val="false"/>
          <w:color w:val="000000"/>
          <w:sz w:val="22"/>
        </w:rPr>
        <w:t>: 50% of Base Salary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PTO Days</w:t>
      </w:r>
      <w:r>
        <w:rPr>
          <w:color w:val="000000"/>
        </w:rPr>
        <w:t>”</w:t>
      </w:r>
      <w:r>
        <w:rPr>
          <w:rFonts w:ascii="Times New Roman;serif" w:hAnsi="Times New Roman;serif"/>
          <w:b w:val="false"/>
          <w:color w:val="000000"/>
          <w:sz w:val="22"/>
        </w:rPr>
        <w:t>: 28 days (which includes vacation, personal and sick days)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Outside Covered Period Severance Months</w:t>
      </w:r>
      <w:r>
        <w:rPr>
          <w:color w:val="000000"/>
        </w:rPr>
        <w:t>”</w:t>
      </w:r>
      <w:r>
        <w:rPr>
          <w:rFonts w:ascii="Times New Roman;serif" w:hAnsi="Times New Roman;serif"/>
          <w:b w:val="false"/>
          <w:color w:val="000000"/>
          <w:sz w:val="22"/>
        </w:rPr>
        <w:t>: 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Period Severance Amount</w:t>
      </w:r>
      <w:r>
        <w:rPr>
          <w:color w:val="000000"/>
        </w:rPr>
        <w:t>”</w:t>
      </w:r>
      <w:r>
        <w:rPr>
          <w:rFonts w:ascii="Times New Roman;serif" w:hAnsi="Times New Roman;serif"/>
          <w:b w:val="false"/>
          <w:color w:val="000000"/>
          <w:sz w:val="22"/>
        </w:rPr>
        <w:t xml:space="preserve">: 2 times the sum of Base Salary and Target Bonus for the year in which Involuntary Termination occurs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COBRA Months</w:t>
      </w:r>
      <w:r>
        <w:rPr>
          <w:color w:val="000000"/>
        </w:rPr>
        <w:t>”</w:t>
      </w:r>
      <w:r>
        <w:rPr>
          <w:rFonts w:ascii="Times New Roman;serif" w:hAnsi="Times New Roman;serif"/>
          <w:b w:val="false"/>
          <w:color w:val="000000"/>
          <w:sz w:val="22"/>
        </w:rPr>
        <w:t>: 18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6 months following your Involuntary Termination outside of a Covered Period or your Termination due to your Disability inside or outside of a Covered Period; 12 months following your Termination initiated by HBT and Heartland for Cause or by you without Good Reason (including non-extension of the Employment Period by you in accordance with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 in each case either inside or outside of a Covered Period; or 24 months following your Involuntary Termination inside of a Covered Period</w:t>
      </w:r>
    </w:p>
    <w:p>
      <w:pPr>
        <w:pStyle w:val="TextBody"/>
        <w:bidi w:val="0"/>
        <w:spacing w:before="0" w:after="240"/>
        <w:ind w:left="0" w:right="0" w:firstLine="720"/>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Mr. Peter Chapman</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405 N. Hershey Rd.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Bloomington, IL 61704</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Re: Extension of Executive Employment Agreement</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Dear Mr. Chapman,</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HBT Financial, Inc., (the “Compensation Committee”), met in February, to review your performance and after determining satisfactory performance, approved the extension of your executive contract for one year and a new base salary.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Attached is Exhibit 1, to your Amendment to Employment Agreement dated March 15, 2024, which extends the Initial Expiration Date by one year and changes the Base Salary, as approved by the Compensation Committee. If you agree with the terms as set forth in Exhibit 1, please sign this letter.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Chairman, HBT Financial, Inc., Compensation Committee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CEO, HBT Financial, Inc., and Heartland Bank and Trust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Peter Chapman</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Peter Chapman, Chief Financial Officer, HBT Financial, Inc., and Heartland Bank and Trust Company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Date: 3/13/2026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1</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(Modifies Exhibit A to Employment Agreement)</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Employee”: Peter Chapman</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Effective Date”: March 2, 2026</w:t>
      </w:r>
    </w:p>
    <w:p>
      <w:pPr>
        <w:pStyle w:val="TextBody"/>
        <w:bidi w:val="0"/>
        <w:spacing w:lineRule="auto" w:line="297" w:before="0" w:after="160"/>
        <w:jc w:val="left"/>
        <w:rPr/>
      </w:pPr>
      <w:r>
        <w:rPr>
          <w:color w:val="000000"/>
        </w:rPr>
        <w:t>“</w:t>
      </w:r>
      <w:r>
        <w:rPr>
          <w:rFonts w:ascii="Times New Roman;serif" w:hAnsi="Times New Roman;serif"/>
          <w:b w:val="false"/>
          <w:color w:val="000000"/>
          <w:sz w:val="24"/>
        </w:rPr>
        <w:t>Position”: Executive Vice President and Chief Financial Officer</w:t>
      </w:r>
      <w:r>
        <w:rPr>
          <w:color w:val="000000"/>
        </w:rPr>
        <w:t xml:space="preserve"> </w:t>
      </w:r>
      <w:r>
        <w:rPr>
          <w:rFonts w:ascii="Times New Roman;serif" w:hAnsi="Times New Roman;serif"/>
          <w:b w:val="false"/>
          <w:color w:val="000000"/>
          <w:sz w:val="24"/>
        </w:rPr>
        <w:t>of HBT Financial, Inc.</w:t>
      </w:r>
    </w:p>
    <w:p>
      <w:pPr>
        <w:pStyle w:val="TextBody"/>
        <w:bidi w:val="0"/>
        <w:spacing w:lineRule="auto" w:line="297" w:before="0" w:after="160"/>
        <w:jc w:val="left"/>
        <w:rPr>
          <w:rFonts w:ascii="Times New Roman;serif" w:hAnsi="Times New Roman;serif"/>
          <w:b w:val="false"/>
          <w:color w:val="000000"/>
          <w:sz w:val="24"/>
        </w:rPr>
      </w:pPr>
      <w:r>
        <w:rPr>
          <w:rFonts w:ascii="Times New Roman;serif" w:hAnsi="Times New Roman;serif"/>
          <w:b w:val="false"/>
          <w:color w:val="000000"/>
          <w:sz w:val="24"/>
        </w:rPr>
        <w:t>and Heartland Bank and Trust Company</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Initial Expiration Date”: December 31, 2028</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Reporting Person”: President and Chief Executive Officer of HBT Financial, Inc. and Heartland Bank and Trust Company</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Location of Employment”: Principal headquarters of HBT Financial, Inc.</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Base Salary”: $373,901</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Target Bonus”: 40% of Base Salary</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Annual LTI Awards Target”: 40% of Base Salary</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Annual PTO Days”: 28 days (which includes vacation, personal, and sick days)</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Outside Covered Period Severance Months”: 6</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Covered Period Severance Amount”: 2 times the sum of your Base Salary and Target</w:t>
      </w:r>
    </w:p>
    <w:p>
      <w:pPr>
        <w:pStyle w:val="TextBody"/>
        <w:bidi w:val="0"/>
        <w:spacing w:lineRule="auto" w:line="297" w:before="0" w:after="160"/>
        <w:jc w:val="left"/>
        <w:rPr>
          <w:rFonts w:ascii="Times New Roman;serif" w:hAnsi="Times New Roman;serif"/>
          <w:b w:val="false"/>
          <w:color w:val="000000"/>
          <w:sz w:val="24"/>
        </w:rPr>
      </w:pPr>
      <w:r>
        <w:rPr>
          <w:rFonts w:ascii="Times New Roman;serif" w:hAnsi="Times New Roman;serif"/>
          <w:b w:val="false"/>
          <w:color w:val="000000"/>
          <w:sz w:val="24"/>
        </w:rPr>
        <w:t>Bonus for the year in which Involuntary Termination occurs</w:t>
      </w:r>
    </w:p>
    <w:p>
      <w:pPr>
        <w:pStyle w:val="TextBody"/>
        <w:bidi w:val="0"/>
        <w:spacing w:lineRule="auto" w:line="297" w:before="0" w:after="160"/>
        <w:jc w:val="left"/>
        <w:rPr>
          <w:color w:val="000000"/>
        </w:rPr>
      </w:pPr>
      <w:r>
        <w:rPr>
          <w:color w:val="000000"/>
        </w:rPr>
        <w:t>“</w:t>
      </w:r>
      <w:r>
        <w:rPr>
          <w:rFonts w:ascii="Times New Roman;serif" w:hAnsi="Times New Roman;serif"/>
          <w:b w:val="false"/>
          <w:color w:val="000000"/>
          <w:sz w:val="24"/>
        </w:rPr>
        <w:t>COBRA Months”: 18</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Restricted Period”: 6 months following your Involuntary Termination outside of 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Covered Period or your Termination due to your Disability inside or outside of a Covered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Period; 12 months following your Termination initiated by HBT and Heartland for Cause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 by you without Good Reason (including non-extension of the Employment Period 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 in accordance with Section 2 above), in each case either inside or outside of a Covered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Period; or 24 months following your Involuntary Termination inside of a Covered Period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10.6</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Mr. Larry Horvath</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405 N. Hershey Rd.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Bloomington, IL 61704</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Re: Extension of Executive Employment Agreement</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Dear Mr. Horvath,</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HBT Financial, Inc., (the “Compensation Committee”), met in February, to review your performance and after determining satisfactory performance, approved the extension of your executive contract for one year and a new base salary.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Attached is Exhibit 1, to your Amendment to Amended and Restated Employment Agreement dated March 15, 2024, which extends the Initial Expiration Date by one year and changes your Base Salary, as approved by the Compensation Committee. If you agree with the terms as set forth in Exhibit 1, please sign this letter.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Chairman, HBT Financial, Inc., Compensation Committee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CEO, HBT Financial, Inc., and Heartland Bank and Trust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Larry Horvath</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Larry Horvath, Chief Lending Officer, HBT Financial, Inc., and Heartland Bank and Trust Company</w:t>
      </w:r>
    </w:p>
    <w:p>
      <w:pPr>
        <w:pStyle w:val="TextBody"/>
        <w:bidi w:val="0"/>
        <w:spacing w:before="0" w:after="0"/>
        <w:jc w:val="left"/>
        <w:rPr/>
      </w:pPr>
      <w:r>
        <w:rPr/>
      </w:r>
    </w:p>
    <w:p>
      <w:pPr>
        <w:pStyle w:val="TextBody"/>
        <w:bidi w:val="0"/>
        <w:spacing w:lineRule="auto" w:line="30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u w:val="single"/>
        </w:rPr>
        <w:t>3/13/2026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1</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Lawrence J. Horvath</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March 2, 2026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Position</w:t>
      </w:r>
      <w:r>
        <w:rPr>
          <w:color w:val="000000"/>
        </w:rPr>
        <w:t>”</w:t>
      </w:r>
      <w:r>
        <w:rPr>
          <w:rFonts w:ascii="Times New Roman;serif" w:hAnsi="Times New Roman;serif"/>
          <w:b w:val="false"/>
          <w:color w:val="000000"/>
          <w:sz w:val="22"/>
        </w:rPr>
        <w:t>: Executive Vice-President and Chief Lending Officer of HBT Financial, Inc. and Heartland Bank and Trust Company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Initial Expiration Date</w:t>
      </w:r>
      <w:r>
        <w:rPr>
          <w:color w:val="000000"/>
        </w:rPr>
        <w:t>”</w:t>
      </w:r>
      <w:r>
        <w:rPr>
          <w:rFonts w:ascii="Times New Roman;serif" w:hAnsi="Times New Roman;serif"/>
          <w:b w:val="false"/>
          <w:color w:val="000000"/>
          <w:sz w:val="22"/>
        </w:rPr>
        <w:t>: December 31, 2028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Reporting Person</w:t>
      </w:r>
      <w:r>
        <w:rPr>
          <w:color w:val="000000"/>
        </w:rPr>
        <w:t>”</w:t>
      </w:r>
      <w:r>
        <w:rPr>
          <w:rFonts w:ascii="Times New Roman;serif" w:hAnsi="Times New Roman;serif"/>
          <w:b w:val="false"/>
          <w:color w:val="000000"/>
          <w:sz w:val="22"/>
        </w:rPr>
        <w:t>: President and Chief Executive Officer of HBT Financial, Inc., and Heartland Bank and Trust</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Location of Employment</w:t>
      </w:r>
      <w:r>
        <w:rPr>
          <w:color w:val="000000"/>
        </w:rPr>
        <w:t>”</w:t>
      </w:r>
      <w:r>
        <w:rPr>
          <w:rFonts w:ascii="Times New Roman;serif" w:hAnsi="Times New Roman;serif"/>
          <w:b w:val="false"/>
          <w:color w:val="000000"/>
          <w:sz w:val="22"/>
        </w:rPr>
        <w:t>: Bloomington-Normal, IL</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$361,670</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Target Bonus</w:t>
      </w:r>
      <w:r>
        <w:rPr>
          <w:color w:val="000000"/>
        </w:rPr>
        <w:t>”</w:t>
      </w:r>
      <w:r>
        <w:rPr>
          <w:rFonts w:ascii="Times New Roman;serif" w:hAnsi="Times New Roman;serif"/>
          <w:b w:val="false"/>
          <w:color w:val="000000"/>
          <w:sz w:val="22"/>
        </w:rPr>
        <w:t>: 30% of Base Salary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LTI Awards Target</w:t>
      </w:r>
      <w:r>
        <w:rPr>
          <w:color w:val="000000"/>
        </w:rPr>
        <w:t>”</w:t>
      </w:r>
      <w:r>
        <w:rPr>
          <w:rFonts w:ascii="Times New Roman;serif" w:hAnsi="Times New Roman;serif"/>
          <w:b w:val="false"/>
          <w:color w:val="000000"/>
          <w:sz w:val="22"/>
        </w:rPr>
        <w:t>: 30% of Base Salary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PTO Days</w:t>
      </w:r>
      <w:r>
        <w:rPr>
          <w:color w:val="000000"/>
        </w:rPr>
        <w:t>”</w:t>
      </w:r>
      <w:r>
        <w:rPr>
          <w:rFonts w:ascii="Times New Roman;serif" w:hAnsi="Times New Roman;serif"/>
          <w:b w:val="false"/>
          <w:color w:val="000000"/>
          <w:sz w:val="22"/>
        </w:rPr>
        <w:t>: 28 days (which includes vacation, personal and sick days)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Outside Covered Period Severance Months</w:t>
      </w:r>
      <w:r>
        <w:rPr>
          <w:color w:val="000000"/>
        </w:rPr>
        <w:t>”</w:t>
      </w:r>
      <w:r>
        <w:rPr>
          <w:rFonts w:ascii="Times New Roman;serif" w:hAnsi="Times New Roman;serif"/>
          <w:b w:val="false"/>
          <w:color w:val="000000"/>
          <w:sz w:val="22"/>
        </w:rPr>
        <w:t>: 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Period Severance Amount</w:t>
      </w:r>
      <w:r>
        <w:rPr>
          <w:color w:val="000000"/>
        </w:rPr>
        <w:t>”</w:t>
      </w:r>
      <w:r>
        <w:rPr>
          <w:rFonts w:ascii="Times New Roman;serif" w:hAnsi="Times New Roman;serif"/>
          <w:b w:val="false"/>
          <w:color w:val="000000"/>
          <w:sz w:val="22"/>
        </w:rPr>
        <w:t>: Base Salary and Target Bonus for the year in which Involuntary Termination occurs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COBRA Months</w:t>
      </w:r>
      <w:r>
        <w:rPr>
          <w:color w:val="000000"/>
        </w:rPr>
        <w:t>”</w:t>
      </w:r>
      <w:r>
        <w:rPr>
          <w:rFonts w:ascii="Times New Roman;serif" w:hAnsi="Times New Roman;serif"/>
          <w:b w:val="false"/>
          <w:color w:val="000000"/>
          <w:sz w:val="22"/>
        </w:rPr>
        <w:t>: 18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6 months following your Involuntary Termination outside of a Covered Period or your Termination due to your Disability inside or outside of a Covered Period; 12 months following your Termination initiated by HBT and Heartland for Cause or by you without Good Reason (including non-extension of the Employment Period by you in accordance with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 in each case either inside or outside of a Covered Period; or 12 months following your Involuntary Termination inside of a Covered Period</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10.7</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Mr. Mark Scheirer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405 N. Hershey Rd.</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Bloomington, IL 61704</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Re: Extension of Executive Employment Agreement</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Dear Mr. Scheirer,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HBT Financial, Inc., (the “Compensation Committee”), met in February, to review your performance and after determining satisfactory performance, approved the extension of your executive contract for one year and a new base salary.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Attached is Exhibit 1, to your Amendment to Amended and Restated Employment Agreement dated March 15, 2024, which extends the Initial Expiration Date by one year and changes the Base Salary, as approved by the Compensation Committee. If you agree with the terms as set forth in Exhibit 1, please sign this letter.</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Eric Burwell</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Chairman, HBT Financial, Inc., Compensation Committee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J. Lance Carter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President and CEO, HBT Financial, Inc., and Heartland Bank and Trust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Mark Scheirer</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Mark Scheirer, Chief Credit Officer, HBT Financial, Inc., and Heartland Bank and Trust Company</w:t>
      </w:r>
    </w:p>
    <w:p>
      <w:pPr>
        <w:pStyle w:val="TextBody"/>
        <w:bidi w:val="0"/>
        <w:spacing w:before="0" w:after="0"/>
        <w:jc w:val="left"/>
        <w:rPr/>
      </w:pPr>
      <w:r>
        <w:rPr/>
      </w:r>
    </w:p>
    <w:p>
      <w:pPr>
        <w:pStyle w:val="TextBody"/>
        <w:bidi w:val="0"/>
        <w:spacing w:lineRule="auto" w:line="30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u w:val="single"/>
        </w:rPr>
        <w:t>3/13/2026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1</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(Modifies Exhibit A to Amended and Restated Employment Agreement)</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Employee</w:t>
      </w:r>
      <w:r>
        <w:rPr>
          <w:color w:val="000000"/>
        </w:rPr>
        <w:t>”</w:t>
      </w:r>
      <w:r>
        <w:rPr>
          <w:rFonts w:ascii="Times New Roman;serif" w:hAnsi="Times New Roman;serif"/>
          <w:b w:val="false"/>
          <w:color w:val="000000"/>
          <w:sz w:val="22"/>
        </w:rPr>
        <w:t>:     Mark W. Scheirer</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March 2, 2026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Position</w:t>
      </w:r>
      <w:r>
        <w:rPr>
          <w:color w:val="000000"/>
        </w:rPr>
        <w:t>”</w:t>
      </w:r>
      <w:r>
        <w:rPr>
          <w:rFonts w:ascii="Times New Roman;serif" w:hAnsi="Times New Roman;serif"/>
          <w:b w:val="false"/>
          <w:color w:val="000000"/>
          <w:sz w:val="22"/>
        </w:rPr>
        <w:t>: Executive Vice President and Chief Credit Officer of HBT Financial, Inc. and Heartland Bank and Trust Company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Initial Expiration Date</w:t>
      </w:r>
      <w:r>
        <w:rPr>
          <w:color w:val="000000"/>
        </w:rPr>
        <w:t>”</w:t>
      </w:r>
      <w:r>
        <w:rPr>
          <w:rFonts w:ascii="Times New Roman;serif" w:hAnsi="Times New Roman;serif"/>
          <w:b w:val="false"/>
          <w:color w:val="000000"/>
          <w:sz w:val="22"/>
        </w:rPr>
        <w:t>: December 31, 2028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Reporting Person</w:t>
      </w:r>
      <w:r>
        <w:rPr>
          <w:color w:val="000000"/>
        </w:rPr>
        <w:t>”</w:t>
      </w:r>
      <w:r>
        <w:rPr>
          <w:rFonts w:ascii="Times New Roman;serif" w:hAnsi="Times New Roman;serif"/>
          <w:b w:val="false"/>
          <w:color w:val="000000"/>
          <w:sz w:val="22"/>
        </w:rPr>
        <w:t>:    President and Chief Executive Officer of HBT Financial and Heartland Bank and Trust Company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Location of Employment</w:t>
      </w:r>
      <w:r>
        <w:rPr>
          <w:color w:val="000000"/>
        </w:rPr>
        <w:t>”</w:t>
      </w:r>
      <w:r>
        <w:rPr>
          <w:rFonts w:ascii="Times New Roman;serif" w:hAnsi="Times New Roman;serif"/>
          <w:b w:val="false"/>
          <w:color w:val="000000"/>
          <w:sz w:val="22"/>
        </w:rPr>
        <w:t>:     Bloomington-Normal, IL</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$307,743</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Target Bonus</w:t>
      </w:r>
      <w:r>
        <w:rPr>
          <w:color w:val="000000"/>
        </w:rPr>
        <w:t>”</w:t>
      </w:r>
      <w:r>
        <w:rPr>
          <w:rFonts w:ascii="Times New Roman;serif" w:hAnsi="Times New Roman;serif"/>
          <w:b w:val="false"/>
          <w:color w:val="000000"/>
          <w:sz w:val="22"/>
        </w:rPr>
        <w:t>: 30% of Base Salary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LTI Awards Target</w:t>
      </w:r>
      <w:r>
        <w:rPr>
          <w:color w:val="000000"/>
        </w:rPr>
        <w:t>”</w:t>
      </w:r>
      <w:r>
        <w:rPr>
          <w:rFonts w:ascii="Times New Roman;serif" w:hAnsi="Times New Roman;serif"/>
          <w:b w:val="false"/>
          <w:color w:val="000000"/>
          <w:sz w:val="22"/>
        </w:rPr>
        <w:t>: 30% of Base Salary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Annual PTO Days</w:t>
      </w:r>
      <w:r>
        <w:rPr>
          <w:color w:val="000000"/>
        </w:rPr>
        <w:t>”</w:t>
      </w:r>
      <w:r>
        <w:rPr>
          <w:rFonts w:ascii="Times New Roman;serif" w:hAnsi="Times New Roman;serif"/>
          <w:b w:val="false"/>
          <w:color w:val="000000"/>
          <w:sz w:val="22"/>
        </w:rPr>
        <w:t>: 28 days (which includes vacation, personal and sick days)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Outside Covered Period Severance Months</w:t>
      </w:r>
      <w:r>
        <w:rPr>
          <w:color w:val="000000"/>
        </w:rPr>
        <w:t>”</w:t>
      </w:r>
      <w:r>
        <w:rPr>
          <w:rFonts w:ascii="Times New Roman;serif" w:hAnsi="Times New Roman;serif"/>
          <w:b w:val="false"/>
          <w:color w:val="000000"/>
          <w:sz w:val="22"/>
        </w:rPr>
        <w:t>: 6</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Period Severance Amount</w:t>
      </w:r>
      <w:r>
        <w:rPr>
          <w:color w:val="000000"/>
        </w:rPr>
        <w:t>”</w:t>
      </w:r>
      <w:r>
        <w:rPr>
          <w:rFonts w:ascii="Times New Roman;serif" w:hAnsi="Times New Roman;serif"/>
          <w:b w:val="false"/>
          <w:color w:val="000000"/>
          <w:sz w:val="22"/>
        </w:rPr>
        <w:t xml:space="preserve">: Base Salary and Target Bonus for the year in which Involuntary Termination occurs </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COBRA Months</w:t>
      </w:r>
      <w:r>
        <w:rPr>
          <w:color w:val="000000"/>
        </w:rPr>
        <w:t>”</w:t>
      </w:r>
      <w:r>
        <w:rPr>
          <w:rFonts w:ascii="Times New Roman;serif" w:hAnsi="Times New Roman;serif"/>
          <w:b w:val="false"/>
          <w:color w:val="000000"/>
          <w:sz w:val="22"/>
        </w:rPr>
        <w:t>: 18</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6 months following your Involuntary Termination outside of a Covered Period or your Termination due to your Disability inside or outside of a Covered Period; 12 months following your Termination initiated by HBT and Heartland for Cause or by you without Good Reason (including non-extension of the Employment Period by you in accordance with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 in each case either inside or outside of a Covered Period; or 12 months following your Involuntary Termination inside of a Covered Period</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 Lance Carter,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HBT Financial,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4" w:type="dxa"/>
        <w:jc w:val="left"/>
        <w:tblInd w:w="0" w:type="dxa"/>
        <w:tblLayout w:type="fixed"/>
        <w:tblCellMar>
          <w:top w:w="28" w:type="dxa"/>
          <w:left w:w="28" w:type="dxa"/>
          <w:bottom w:w="28" w:type="dxa"/>
          <w:right w:w="28" w:type="dxa"/>
        </w:tblCellMar>
      </w:tblPr>
      <w:tblGrid>
        <w:gridCol w:w="591"/>
        <w:gridCol w:w="520"/>
        <w:gridCol w:w="523"/>
        <w:gridCol w:w="939"/>
        <w:gridCol w:w="939"/>
        <w:gridCol w:w="13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J. Lance Carter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J. Lance Carter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Peter R. Chapman,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HBT Financial,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74" w:type="dxa"/>
        <w:jc w:val="left"/>
        <w:tblInd w:w="0" w:type="dxa"/>
        <w:tblLayout w:type="fixed"/>
        <w:tblCellMar>
          <w:top w:w="28" w:type="dxa"/>
          <w:left w:w="28" w:type="dxa"/>
          <w:bottom w:w="28" w:type="dxa"/>
          <w:right w:w="28" w:type="dxa"/>
        </w:tblCellMar>
      </w:tblPr>
      <w:tblGrid>
        <w:gridCol w:w="591"/>
        <w:gridCol w:w="520"/>
        <w:gridCol w:w="523"/>
        <w:gridCol w:w="1297"/>
        <w:gridCol w:w="1297"/>
        <w:gridCol w:w="184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Peter R. Chapman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Peter R. Chapman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HBT Financial, Inc. (the “Company”) on Form 10-Q for the period ended March 31, 2026 as filed with the Securities and Exchange Commission on the date hereof (the “Report”), the undersigned hereby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152"/>
        <w:gridCol w:w="1011"/>
        <w:gridCol w:w="1017"/>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J. Lance Carter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J. Lance Carter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HBT Financial, Inc. (the “Company”) on Form 10-Q for the period ended March 31, 2026 as filed with the Securities and Exchange Commission on the date hereof (the “Report”), the undersigned hereby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1" w:type="dxa"/>
        <w:jc w:val="left"/>
        <w:tblInd w:w="0" w:type="dxa"/>
        <w:tblLayout w:type="fixed"/>
        <w:tblCellMar>
          <w:top w:w="28" w:type="dxa"/>
          <w:left w:w="28" w:type="dxa"/>
          <w:bottom w:w="28" w:type="dxa"/>
          <w:right w:w="28" w:type="dxa"/>
        </w:tblCellMar>
      </w:tblPr>
      <w:tblGrid>
        <w:gridCol w:w="1596"/>
        <w:gridCol w:w="1404"/>
        <w:gridCol w:w="14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Peter R. Chapman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Peter R. Chapman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5215/000077521526000028/hbt-20260311ex41.htm" TargetMode="External"/><Relationship Id="rId3" Type="http://schemas.openxmlformats.org/officeDocument/2006/relationships/hyperlink" Target="https://www.sec.gov/Archives/edgar/data/775215/000077521526000028/hbt-20260311ex41.htm" TargetMode="External"/><Relationship Id="rId4" Type="http://schemas.openxmlformats.org/officeDocument/2006/relationships/hyperlink" Target="https://www.sec.gov/Archives/edgar/data/775215/000077521526000028/hbt-20260311ex41.htm" TargetMode="External"/><Relationship Id="rId5" Type="http://schemas.openxmlformats.org/officeDocument/2006/relationships/hyperlink" Target="https://www.sec.gov/Archives/edgar/data/775215/000077521526000028/hbt-20260311ex41.htm" TargetMode="External"/><Relationship Id="rId6" Type="http://schemas.openxmlformats.org/officeDocument/2006/relationships/hyperlink" Target="https://www.sec.gov/Archives/edgar/data/775215/000077521526000028/hbt-20260311ex101.htm" TargetMode="External"/><Relationship Id="rId7" Type="http://schemas.openxmlformats.org/officeDocument/2006/relationships/hyperlink" Target="https://www.sec.gov/Archives/edgar/data/775215/000077521526000028/hbt-20260311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32244</Words>
  <Characters>181266</Characters>
  <CharactersWithSpaces>209517</CharactersWithSpaces>
  <Paragraphs>8513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