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9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12, 2026</w:t>
      </w:r>
    </w:p>
    <w:p>
      <w:pPr>
        <w:spacing w:after="0" w:line="5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333-296272​</w:t>
      </w:r>
    </w:p>
    <w:p>
      <w:pPr>
        <w:spacing w:after="0" w:line="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1905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9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459"/>
        <w:spacing w:after="0" w:line="237"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1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3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S-4</w:t>
      </w:r>
    </w:p>
    <w:p>
      <w:pPr>
        <w:spacing w:after="0" w:line="6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1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UNDER THE SECURITIES ACT OF 1933</w:t>
      </w:r>
    </w:p>
    <w:p>
      <w:pPr>
        <w:spacing w:after="0" w:line="2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HBT Financial, Inc.</w:t>
      </w:r>
    </w:p>
    <w:p>
      <w:pPr>
        <w:ind w:left="37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107950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8" w:lineRule="exact"/>
        <w:rPr>
          <w:sz w:val="24"/>
          <w:szCs w:val="24"/>
          <w:color w:val="auto"/>
        </w:rPr>
      </w:pPr>
    </w:p>
    <w:tbl>
      <w:tblPr>
        <w:tblLayout w:type="fixed"/>
        <w:tblInd w:w="500" w:type="dxa"/>
        <w:tblCellMar>
          <w:top w:w="0" w:type="dxa"/>
          <w:left w:w="0" w:type="dxa"/>
          <w:bottom w:w="0" w:type="dxa"/>
          <w:right w:w="0" w:type="dxa"/>
        </w:tblCellMar>
      </w:tblP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2480" w:type="dxa"/>
            <w:vAlign w:val="bottom"/>
          </w:tcPr>
          <w:p>
            <w:pPr>
              <w:jc w:val="right"/>
              <w:ind w:right="1025"/>
              <w:spacing w:after="0"/>
              <w:rPr>
                <w:sz w:val="20"/>
                <w:szCs w:val="20"/>
                <w:color w:val="auto"/>
              </w:rPr>
            </w:pPr>
            <w:r>
              <w:rPr>
                <w:rFonts w:ascii="Times New Roman" w:cs="Times New Roman" w:eastAsia="Times New Roman" w:hAnsi="Times New Roman"/>
                <w:sz w:val="16"/>
                <w:szCs w:val="16"/>
                <w:b w:val="1"/>
                <w:bCs w:val="1"/>
                <w:color w:val="auto"/>
              </w:rPr>
              <w:t>6022</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240" w:type="dxa"/>
            <w:vAlign w:val="bottom"/>
          </w:tcPr>
          <w:p>
            <w:pPr>
              <w:jc w:val="right"/>
              <w:ind w:right="665"/>
              <w:spacing w:after="0"/>
              <w:rPr>
                <w:sz w:val="20"/>
                <w:szCs w:val="20"/>
                <w:color w:val="auto"/>
              </w:rPr>
            </w:pPr>
            <w:r>
              <w:rPr>
                <w:rFonts w:ascii="Times New Roman" w:cs="Times New Roman" w:eastAsia="Times New Roman" w:hAnsi="Times New Roman"/>
                <w:sz w:val="16"/>
                <w:szCs w:val="16"/>
                <w:b w:val="1"/>
                <w:bCs w:val="1"/>
                <w:color w:val="auto"/>
              </w:rPr>
              <w:t>37-1117216</w:t>
            </w:r>
          </w:p>
        </w:tc>
        <w:tc>
          <w:tcPr>
            <w:tcW w:w="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20" w:type="dxa"/>
            <w:vAlign w:val="bottom"/>
          </w:tcPr>
          <w:p>
            <w:pPr>
              <w:spacing w:after="0"/>
              <w:rPr>
                <w:sz w:val="14"/>
                <w:szCs w:val="14"/>
                <w:color w:val="auto"/>
              </w:rPr>
            </w:pPr>
          </w:p>
        </w:tc>
        <w:tc>
          <w:tcPr>
            <w:tcW w:w="2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800" w:type="dxa"/>
            <w:vAlign w:val="bottom"/>
          </w:tcPr>
          <w:p>
            <w:pPr>
              <w:spacing w:after="0"/>
              <w:rPr>
                <w:sz w:val="14"/>
                <w:szCs w:val="14"/>
                <w:color w:val="auto"/>
              </w:rPr>
            </w:pPr>
          </w:p>
        </w:tc>
        <w:tc>
          <w:tcPr>
            <w:tcW w:w="2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9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480" w:type="dxa"/>
            <w:vAlign w:val="bottom"/>
          </w:tcPr>
          <w:p>
            <w:pPr>
              <w:spacing w:after="0"/>
              <w:rPr>
                <w:sz w:val="14"/>
                <w:szCs w:val="14"/>
                <w:color w:val="auto"/>
              </w:rPr>
            </w:pPr>
          </w:p>
        </w:tc>
      </w:tr>
      <w:tr>
        <w:trPr>
          <w:trHeight w:val="210"/>
        </w:trPr>
        <w:tc>
          <w:tcPr>
            <w:tcW w:w="320" w:type="dxa"/>
            <w:vAlign w:val="bottom"/>
          </w:tcPr>
          <w:p>
            <w:pPr>
              <w:spacing w:after="0"/>
              <w:rPr>
                <w:sz w:val="18"/>
                <w:szCs w:val="18"/>
                <w:color w:val="auto"/>
              </w:rPr>
            </w:pPr>
          </w:p>
        </w:tc>
        <w:tc>
          <w:tcPr>
            <w:tcW w:w="2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Incorporation or Organization)</w:t>
            </w: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2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Classification Code Number)</w:t>
            </w: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c>
          <w:tcPr>
            <w:tcW w:w="480" w:type="dxa"/>
            <w:vAlign w:val="bottom"/>
          </w:tcPr>
          <w:p>
            <w:pPr>
              <w:spacing w:after="0"/>
              <w:rPr>
                <w:sz w:val="18"/>
                <w:szCs w:val="18"/>
                <w:color w:val="auto"/>
              </w:rPr>
            </w:pPr>
          </w:p>
        </w:tc>
      </w:tr>
    </w:tbl>
    <w:p>
      <w:pPr>
        <w:spacing w:after="0" w:line="179" w:lineRule="exact"/>
        <w:rPr>
          <w:sz w:val="24"/>
          <w:szCs w:val="24"/>
          <w:color w:val="auto"/>
        </w:rPr>
      </w:pPr>
    </w:p>
    <w:p>
      <w:pPr>
        <w:sectPr>
          <w:pgSz w:w="11900" w:h="16838" w:orient="portrait"/>
          <w:cols w:equalWidth="0" w:num="1">
            <w:col w:w="10280"/>
          </w:cols>
          <w:pgMar w:left="580" w:top="205" w:right="1039" w:bottom="1440" w:gutter="0" w:footer="0" w:header="0"/>
        </w:sect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401 North Hershey Rd</w:t>
      </w:r>
    </w:p>
    <w:p>
      <w:pPr>
        <w:spacing w:after="0" w:line="12"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Bloomington, Illinois 61704</w:t>
      </w:r>
    </w:p>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309-662-4444</w:t>
      </w:r>
    </w:p>
    <w:p>
      <w:pPr>
        <w:jc w:val="center"/>
        <w:ind w:left="60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59"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J. Lance Carter</w:t>
      </w:r>
    </w:p>
    <w:p>
      <w:pPr>
        <w:spacing w:after="0" w:line="3"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401 North Hershey Rd</w:t>
      </w:r>
    </w:p>
    <w:p>
      <w:pPr>
        <w:jc w:val="center"/>
        <w:ind w:left="560"/>
        <w:spacing w:after="0" w:line="235" w:lineRule="auto"/>
        <w:rPr>
          <w:sz w:val="20"/>
          <w:szCs w:val="20"/>
          <w:color w:val="auto"/>
        </w:rPr>
      </w:pPr>
      <w:r>
        <w:rPr>
          <w:rFonts w:ascii="Times New Roman" w:cs="Times New Roman" w:eastAsia="Times New Roman" w:hAnsi="Times New Roman"/>
          <w:sz w:val="16"/>
          <w:szCs w:val="16"/>
          <w:b w:val="1"/>
          <w:bCs w:val="1"/>
          <w:color w:val="auto"/>
        </w:rPr>
        <w:t>Bloomington, Illinois 61704</w:t>
      </w:r>
    </w:p>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(888) 897-2276</w:t>
      </w:r>
    </w:p>
    <w:p>
      <w:pPr>
        <w:spacing w:after="0" w:line="8"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46"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Copies to:</w:t>
      </w:r>
    </w:p>
    <w:p>
      <w:pPr>
        <w:spacing w:after="0" w:line="73"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Abdul R. Mitha</w:t>
      </w:r>
    </w:p>
    <w:p>
      <w:pPr>
        <w:spacing w:after="0" w:line="3"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Barack Ferrazzano Kirschbaum &amp; Nagelberg LLP</w:t>
      </w: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200 West Madison Street, Suite 3900</w:t>
      </w:r>
    </w:p>
    <w:p>
      <w:pPr>
        <w:ind w:left="4600"/>
        <w:spacing w:after="0" w:line="235" w:lineRule="auto"/>
        <w:rPr>
          <w:sz w:val="20"/>
          <w:szCs w:val="20"/>
          <w:color w:val="auto"/>
        </w:rPr>
      </w:pPr>
      <w:r>
        <w:rPr>
          <w:rFonts w:ascii="Times New Roman" w:cs="Times New Roman" w:eastAsia="Times New Roman" w:hAnsi="Times New Roman"/>
          <w:sz w:val="16"/>
          <w:szCs w:val="16"/>
          <w:b w:val="1"/>
          <w:bCs w:val="1"/>
          <w:color w:val="auto"/>
        </w:rPr>
        <w:t>Chicago, Illinois 60606</w:t>
      </w:r>
    </w:p>
    <w:p>
      <w:pPr>
        <w:ind w:left="4880"/>
        <w:spacing w:after="0"/>
        <w:rPr>
          <w:sz w:val="20"/>
          <w:szCs w:val="20"/>
          <w:color w:val="auto"/>
        </w:rPr>
      </w:pPr>
      <w:r>
        <w:rPr>
          <w:rFonts w:ascii="Times New Roman" w:cs="Times New Roman" w:eastAsia="Times New Roman" w:hAnsi="Times New Roman"/>
          <w:sz w:val="16"/>
          <w:szCs w:val="16"/>
          <w:b w:val="1"/>
          <w:bCs w:val="1"/>
          <w:color w:val="auto"/>
        </w:rPr>
        <w:t>(312) 984-3100</w:t>
      </w:r>
    </w:p>
    <w:p>
      <w:pPr>
        <w:spacing w:after="0" w:line="53" w:lineRule="exact"/>
        <w:rPr>
          <w:sz w:val="24"/>
          <w:szCs w:val="24"/>
          <w:color w:val="auto"/>
        </w:rPr>
      </w:pPr>
    </w:p>
    <w:p>
      <w:pPr>
        <w:ind w:left="500" w:right="480" w:firstLine="360"/>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becomes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effective.</w:t>
      </w:r>
    </w:p>
    <w:p>
      <w:pPr>
        <w:spacing w:after="0" w:line="28" w:lineRule="exact"/>
        <w:rPr>
          <w:sz w:val="24"/>
          <w:szCs w:val="24"/>
          <w:color w:val="auto"/>
        </w:rPr>
      </w:pPr>
    </w:p>
    <w:p>
      <w:pPr>
        <w:ind w:left="500" w:right="360" w:firstLine="360"/>
        <w:spacing w:after="0" w:line="206" w:lineRule="exact"/>
        <w:rPr>
          <w:sz w:val="20"/>
          <w:szCs w:val="20"/>
          <w:color w:val="auto"/>
        </w:rPr>
      </w:pPr>
      <w:r>
        <w:rPr>
          <w:rFonts w:ascii="Times New Roman" w:cs="Times New Roman" w:eastAsia="Times New Roman" w:hAnsi="Times New Roman"/>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500" w:firstLine="360"/>
        <w:spacing w:after="0" w:line="20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500" w:right="160" w:firstLine="360"/>
        <w:spacing w:after="0" w:line="20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left="500" w:right="40" w:firstLine="360"/>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860" w:type="dxa"/>
        <w:tblCellMar>
          <w:top w:w="0" w:type="dxa"/>
          <w:left w:w="0" w:type="dxa"/>
          <w:bottom w:w="0" w:type="dxa"/>
          <w:right w:w="0" w:type="dxa"/>
        </w:tblCellMar>
      </w:tblPr>
      <w:tr>
        <w:trPr>
          <w:trHeight w:val="185"/>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88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vMerge w:val="restart"/>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4"/>
        </w:trPr>
        <w:tc>
          <w:tcPr>
            <w:tcW w:w="1620" w:type="dxa"/>
            <w:vAlign w:val="bottom"/>
          </w:tcPr>
          <w:p>
            <w:pPr>
              <w:spacing w:after="0"/>
              <w:rPr>
                <w:sz w:val="20"/>
                <w:szCs w:val="20"/>
                <w:color w:val="auto"/>
              </w:rPr>
            </w:pPr>
            <w:r>
              <w:rPr>
                <w:rFonts w:ascii="Times New Roman" w:cs="Times New Roman" w:eastAsia="Times New Roman" w:hAnsi="Times New Roman"/>
                <w:sz w:val="1"/>
                <w:szCs w:val="1"/>
                <w:color w:val="auto"/>
              </w:rPr>
              <w:t>Large accelerated filer</w:t>
            </w:r>
          </w:p>
        </w:tc>
        <w:tc>
          <w:tcPr>
            <w:tcW w:w="2060" w:type="dxa"/>
            <w:vAlign w:val="bottom"/>
            <w:vMerge w:val="continue"/>
          </w:tcPr>
          <w:p>
            <w:pPr>
              <w:spacing w:after="0" w:line="20" w:lineRule="exact"/>
              <w:rPr>
                <w:sz w:val="1"/>
                <w:szCs w:val="1"/>
                <w:color w:val="auto"/>
              </w:rPr>
            </w:pPr>
          </w:p>
        </w:tc>
        <w:tc>
          <w:tcPr>
            <w:tcW w:w="1880" w:type="dxa"/>
            <w:vAlign w:val="bottom"/>
            <w:vMerge w:val="restart"/>
          </w:tcPr>
          <w:p>
            <w:pPr>
              <w:ind w:left="18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4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2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206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8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vMerge w:val="restart"/>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40"/>
        </w:trPr>
        <w:tc>
          <w:tcPr>
            <w:tcW w:w="1620" w:type="dxa"/>
            <w:vAlign w:val="bottom"/>
          </w:tcPr>
          <w:p>
            <w:pPr>
              <w:spacing w:after="0" w:line="41" w:lineRule="exact"/>
              <w:rPr>
                <w:sz w:val="20"/>
                <w:szCs w:val="20"/>
                <w:color w:val="auto"/>
              </w:rPr>
            </w:pPr>
            <w:r>
              <w:rPr>
                <w:rFonts w:ascii="Times New Roman" w:cs="Times New Roman" w:eastAsia="Times New Roman" w:hAnsi="Times New Roman"/>
                <w:sz w:val="4"/>
                <w:szCs w:val="4"/>
                <w:color w:val="auto"/>
              </w:rPr>
              <w:t>Non-accelerated filer</w:t>
            </w:r>
          </w:p>
        </w:tc>
        <w:tc>
          <w:tcPr>
            <w:tcW w:w="2060" w:type="dxa"/>
            <w:vAlign w:val="bottom"/>
            <w:vMerge w:val="continue"/>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7"/>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tcPr>
          <w:p>
            <w:pPr>
              <w:spacing w:after="0"/>
              <w:rPr>
                <w:sz w:val="24"/>
                <w:szCs w:val="24"/>
                <w:color w:val="auto"/>
              </w:rPr>
            </w:pPr>
          </w:p>
        </w:tc>
        <w:tc>
          <w:tcPr>
            <w:tcW w:w="4020" w:type="dxa"/>
            <w:vAlign w:val="bottom"/>
            <w:gridSpan w:val="3"/>
          </w:tcPr>
          <w:p>
            <w:pPr>
              <w:ind w:left="1800"/>
              <w:spacing w:after="0"/>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rPr>
          <w:sz w:val="20"/>
          <w:szCs w:val="20"/>
          <w:color w:val="auto"/>
        </w:rPr>
      </w:pPr>
      <w:r>
        <w:rPr>
          <w:rFonts w:ascii="Times New Roman" w:cs="Times New Roman" w:eastAsia="Times New Roman" w:hAnsi="Times New Roman"/>
          <w:sz w:val="16"/>
          <w:szCs w:val="16"/>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36" w:lineRule="exact"/>
        <w:rPr>
          <w:sz w:val="24"/>
          <w:szCs w:val="24"/>
          <w:color w:val="auto"/>
        </w:rPr>
      </w:pPr>
    </w:p>
    <w:p>
      <w:pPr>
        <w:sectPr>
          <w:pgSz w:w="11900" w:h="16838" w:orient="portrait"/>
          <w:cols w:equalWidth="0" w:num="2">
            <w:col w:w="10140" w:space="100"/>
            <w:col w:w="40"/>
          </w:cols>
          <w:pgMar w:left="580" w:top="205" w:right="1039" w:bottom="1440" w:gutter="0" w:footer="0" w:header="0"/>
          <w:type w:val="continuous"/>
        </w:sectPr>
      </w:pPr>
    </w:p>
    <w:p>
      <w:pPr>
        <w:ind w:left="500" w:right="700" w:firstLine="360"/>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8"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If applicable, place an X in the box to designate the appropriate rule provision relied upon in conducting this transaction:</w:t>
      </w:r>
    </w:p>
    <w:p>
      <w:pPr>
        <w:spacing w:after="0" w:line="37" w:lineRule="exact"/>
        <w:rPr>
          <w:sz w:val="24"/>
          <w:szCs w:val="24"/>
          <w:color w:val="auto"/>
        </w:rPr>
      </w:pPr>
    </w:p>
    <w:p>
      <w:pPr>
        <w:ind w:left="860"/>
        <w:spacing w:after="0" w:line="184" w:lineRule="exact"/>
        <w:tabs>
          <w:tab w:leader="none" w:pos="6240" w:val="left"/>
        </w:tabs>
        <w:rPr>
          <w:sz w:val="20"/>
          <w:szCs w:val="20"/>
          <w:color w:val="auto"/>
        </w:rPr>
      </w:pPr>
      <w:r>
        <w:rPr>
          <w:rFonts w:ascii="Times New Roman" w:cs="Times New Roman" w:eastAsia="Times New Roman" w:hAnsi="Times New Roman"/>
          <w:sz w:val="16"/>
          <w:szCs w:val="16"/>
          <w:color w:val="auto"/>
        </w:rPr>
        <w:t>Exchange Act Rule 13e-4(i) (Cross-Border Issuer Tender Offer)</w:t>
      </w:r>
      <w:r>
        <w:rPr>
          <w:sz w:val="20"/>
          <w:szCs w:val="20"/>
          <w:color w:val="auto"/>
        </w:rPr>
        <w:tab/>
      </w:r>
      <w:r>
        <w:rPr>
          <w:rFonts w:ascii="MS PGothic" w:cs="MS PGothic" w:eastAsia="MS PGothic" w:hAnsi="MS PGothic"/>
          <w:sz w:val="14"/>
          <w:szCs w:val="14"/>
          <w:color w:val="auto"/>
        </w:rPr>
        <w:t>☐</w:t>
      </w:r>
    </w:p>
    <w:p>
      <w:pPr>
        <w:spacing w:after="0" w:line="88" w:lineRule="exact"/>
        <w:rPr>
          <w:sz w:val="24"/>
          <w:szCs w:val="24"/>
          <w:color w:val="auto"/>
        </w:rPr>
      </w:pPr>
    </w:p>
    <w:p>
      <w:pPr>
        <w:ind w:left="860"/>
        <w:spacing w:after="0" w:line="184" w:lineRule="exact"/>
        <w:tabs>
          <w:tab w:leader="none" w:pos="6240" w:val="left"/>
        </w:tabs>
        <w:rPr>
          <w:sz w:val="20"/>
          <w:szCs w:val="20"/>
          <w:color w:val="auto"/>
        </w:rPr>
      </w:pPr>
      <w:r>
        <w:rPr>
          <w:rFonts w:ascii="Times New Roman" w:cs="Times New Roman" w:eastAsia="Times New Roman" w:hAnsi="Times New Roman"/>
          <w:sz w:val="16"/>
          <w:szCs w:val="16"/>
          <w:color w:val="auto"/>
        </w:rPr>
        <w:t>Exchange Act Rule 14d-1(d) (Cross-Border Third-Party Tender Offer)</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170815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8" w:lineRule="exact"/>
        <w:rPr>
          <w:sz w:val="24"/>
          <w:szCs w:val="24"/>
          <w:color w:val="auto"/>
        </w:rPr>
      </w:pPr>
    </w:p>
    <w:p>
      <w:pPr>
        <w:ind w:left="500" w:right="300" w:firstLine="360"/>
        <w:spacing w:after="0" w:line="247"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60325</wp:posOffset>
            </wp:positionV>
            <wp:extent cx="6189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HBT Financial, Inc. is filing this Amendment No. 1 to the Registration Statement on Form S-4 (File No. 333-296272), originally filed on May 27, 2026 (the “Registration Statement”), to update Part II, Item 21 (Exhibits) in the originally filed Registration Statement. Accordingly, this Amendment No. 1 consists only of the facing page, this explanatory note, Part II of the Registration Statement and Exhibit 23.1 filed herewith. The remainder of the Registration Statement, including the prospectus,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7216140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58" w:lineRule="exact"/>
        <w:rPr>
          <w:sz w:val="20"/>
          <w:szCs w:val="20"/>
          <w:color w:val="auto"/>
        </w:rPr>
      </w:pPr>
    </w:p>
    <w:p>
      <w:pPr>
        <w:ind w:left="1620"/>
        <w:spacing w:after="0"/>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Delaware Law.</w:t>
      </w:r>
      <w:r>
        <w:rPr>
          <w:sz w:val="20"/>
          <w:szCs w:val="20"/>
          <w:color w:val="auto"/>
        </w:rPr>
        <w:tab/>
      </w:r>
      <w:r>
        <w:rPr>
          <w:rFonts w:ascii="Times New Roman" w:cs="Times New Roman" w:eastAsia="Times New Roman" w:hAnsi="Times New Roman"/>
          <w:sz w:val="18"/>
          <w:szCs w:val="18"/>
          <w:color w:val="auto"/>
        </w:rPr>
        <w:t>The Company is incorporated under the laws of the State of Delaware. Section 102(b)</w:t>
      </w:r>
    </w:p>
    <w:p>
      <w:pPr>
        <w:spacing w:after="0" w:line="20" w:lineRule="exact"/>
        <w:rPr>
          <w:sz w:val="20"/>
          <w:szCs w:val="20"/>
          <w:color w:val="auto"/>
        </w:rPr>
      </w:pPr>
    </w:p>
    <w:p>
      <w:pPr>
        <w:ind w:left="1260" w:right="479"/>
        <w:spacing w:after="0" w:line="242" w:lineRule="auto"/>
        <w:tabs>
          <w:tab w:leader="none" w:pos="152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Certificate of Incorporation provides for this limitation of liability.</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Where an officer or director is successful on the merits or otherwise in the defense of any action referred to above, the corporation must indemnify him against the expenses which such officer or director has actually and reasonably incurred. 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 Each of the directors and officers of the Company are covered by insurance policies maintained and held in effect by the Company against certain liabilities for actions taken in such capacities, including liabilities under the Securities Act of 1933.</w:t>
      </w:r>
    </w:p>
    <w:p>
      <w:pPr>
        <w:spacing w:after="0" w:line="119" w:lineRule="exact"/>
        <w:rPr>
          <w:sz w:val="20"/>
          <w:szCs w:val="20"/>
          <w:color w:val="auto"/>
        </w:rPr>
      </w:pPr>
    </w:p>
    <w:p>
      <w:pPr>
        <w:ind w:left="1260" w:right="45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Certificate of Incorporation and Bylaws. </w:t>
      </w:r>
      <w:r>
        <w:rPr>
          <w:rFonts w:ascii="Times New Roman" w:cs="Times New Roman" w:eastAsia="Times New Roman" w:hAnsi="Times New Roman"/>
          <w:sz w:val="18"/>
          <w:szCs w:val="18"/>
          <w:color w:val="auto"/>
        </w:rPr>
        <w:t>Article Ninth of the Certificate of Incorporation provides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director of the Company shall be liable to the Company or its stockholders for monetary damages arising from a breach of such director’s fiduciary duty as a director owed to the Company or its stockholders, except to the extent that such exemption from liability or limitation thereof is not permitted under the DGCL.</w:t>
      </w:r>
    </w:p>
    <w:p>
      <w:pPr>
        <w:spacing w:after="0" w:line="32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Article VI of the Bylaws provides that, to the extent permitted by the DGCL, the Company shall</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indemnify any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Company or is or was serving at the request of the corporation as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reasonably believed to be in or not opposed to the best interests of the Company, and, with respect to any criminal action or proceeding, had no reasonable cause to believe his or her conduct was unlawful. Under the DGCL,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Company, and with respect to any criminal action or proceeding, had reasonable cause to believe that his or her conduct was unlawful and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application that, despite the adjudication of liability but in view of all the circumstances of the case, such person is fairly and reasonably entitled to indemnity for such expenses which the Court of Chancery or such other court shall deem proper. To the extent that a director, officer, employee or agent of the Company has been successful on the merits or otherwise in defense of any action, suit or proceeding referred to above, or in defense of any claim, issue or matter therein, he or she shall be indemnified against expenses (including attorneys’ fees) actually and reasonably incurred by him or her in connection therewith. Any indemnification (unless ordered by a court) shall be made by the Company only upon a determination in the specific case that indemnification of the director, officer, employee or agent is proper in the circumstances because he or she has met the applicable standard of conduct set forth above. Such determination shall be made (a) by the Board of Directors by a majority vote of a quorum consisting of directors who were not parties to such action, suit or proceedings, (b) by a committee of such directors designated by a majority vote of such directors, even though less than a quorum, (c) if such quorum is not obtainable, or, even if obtainable and a quorum of disinterested directors so directs, by independent legal counsel (compensated by the Company) in a written opinion, or (d) by the stockholders.</w:t>
      </w:r>
    </w:p>
    <w:p>
      <w:pPr>
        <w:spacing w:after="0" w:line="347"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Company’s Certificate of Incorporation and Bylaws is qualified in its entirety by reference to each such document, which are listed as Exhibits 3.1 and 3.2 respectively, hereto.</w:t>
      </w:r>
    </w:p>
    <w:p>
      <w:pPr>
        <w:spacing w:after="0" w:line="90" w:lineRule="exact"/>
        <w:rPr>
          <w:sz w:val="20"/>
          <w:szCs w:val="20"/>
          <w:color w:val="auto"/>
        </w:rPr>
      </w:pPr>
    </w:p>
    <w:p>
      <w:pPr>
        <w:ind w:left="1260" w:right="5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Liability Insurance</w:t>
      </w:r>
      <w:r>
        <w:rPr>
          <w:rFonts w:ascii="Times New Roman" w:cs="Times New Roman" w:eastAsia="Times New Roman" w:hAnsi="Times New Roman"/>
          <w:sz w:val="18"/>
          <w:szCs w:val="18"/>
          <w:color w:val="auto"/>
        </w:rPr>
        <w:t>. The Company maintains directors’ and officers’ liability insurance which covers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liabilities and expenses of its directors and officers and covers it for reimbursement of payments to our directors and officers in respect of such liabilities and expenses, in each case subject to certain limits and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21. Exhibits.</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following exhibits are filed herewith or are incorporated herein by reference to other filings of the Registrant.</w:t>
      </w:r>
    </w:p>
    <w:p>
      <w:pPr>
        <w:sectPr>
          <w:pgSz w:w="11900" w:h="16838" w:orient="portrait"/>
          <w:cols w:equalWidth="0" w:num="1">
            <w:col w:w="9879"/>
          </w:cols>
          <w:pgMar w:left="580" w:top="97" w:right="1440" w:bottom="1440" w:gutter="0" w:footer="0" w:header="0"/>
        </w:sectPr>
      </w:pPr>
    </w:p>
    <w:p>
      <w:pPr>
        <w:spacing w:after="0" w:line="1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60"/>
        <w:spacing w:after="0"/>
        <w:tabs>
          <w:tab w:leader="none" w:pos="5360" w:val="left"/>
        </w:tabs>
        <w:rPr>
          <w:sz w:val="20"/>
          <w:szCs w:val="20"/>
          <w:color w:val="auto"/>
        </w:rPr>
      </w:pPr>
      <w:r>
        <w:rPr>
          <w:rFonts w:ascii="Times New Roman" w:cs="Times New Roman" w:eastAsia="Times New Roman" w:hAnsi="Times New Roman"/>
          <w:sz w:val="25"/>
          <w:szCs w:val="25"/>
          <w:b w:val="1"/>
          <w:bCs w:val="1"/>
          <w:u w:val="single" w:color="auto"/>
          <w:color w:val="auto"/>
          <w:vertAlign w:val="subscript"/>
        </w:rPr>
        <w:t>​</w:t>
      </w:r>
      <w:r>
        <w:rPr>
          <w:rFonts w:ascii="Times New Roman" w:cs="Times New Roman" w:eastAsia="Times New Roman" w:hAnsi="Times New Roman"/>
          <w:sz w:val="13"/>
          <w:szCs w:val="13"/>
          <w:b w:val="1"/>
          <w:bCs w:val="1"/>
          <w:u w:val="single" w:color="auto"/>
          <w:color w:val="auto"/>
        </w:rPr>
        <w:t>Number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-1270</wp:posOffset>
            </wp:positionV>
            <wp:extent cx="4766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jc w:val="both"/>
        <w:ind w:left="1760" w:hanging="701"/>
        <w:spacing w:after="0" w:line="264" w:lineRule="auto"/>
        <w:tabs>
          <w:tab w:leader="none" w:pos="1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3.1</w:t>
        <w:tab/>
        <w:t xml:space="preserve">​ ​ </w:t>
      </w:r>
      <w:hyperlink r:id="rId17">
        <w:r>
          <w:rPr>
            <w:rFonts w:ascii="Times New Roman" w:cs="Times New Roman" w:eastAsia="Times New Roman" w:hAnsi="Times New Roman"/>
            <w:sz w:val="18"/>
            <w:szCs w:val="18"/>
            <w:u w:val="single" w:color="auto"/>
            <w:color w:val="0000EE"/>
          </w:rPr>
          <w:t>Restated Certificate of Incorporation of HBT Financial, Inc. (incorporated by reference to</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Exhibit 4.1 to the Company’s Registration Statement on Form S-8, filed with the SEC on</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October 30, 2019).</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78" w:lineRule="exact"/>
        <w:rPr>
          <w:rFonts w:ascii="Times New Roman" w:cs="Times New Roman" w:eastAsia="Times New Roman" w:hAnsi="Times New Roman"/>
          <w:sz w:val="18"/>
          <w:szCs w:val="18"/>
          <w:color w:val="auto"/>
        </w:rPr>
      </w:pPr>
    </w:p>
    <w:p>
      <w:pPr>
        <w:sectPr>
          <w:pgSz w:w="11900" w:h="16838" w:orient="portrait"/>
          <w:cols w:equalWidth="0" w:num="2">
            <w:col w:w="8740" w:space="720"/>
            <w:col w:w="419"/>
          </w:cols>
          <w:pgMar w:left="580" w:top="97" w:right="1440" w:bottom="1440" w:gutter="0" w:footer="0" w:header="0"/>
          <w:type w:val="continuous"/>
        </w:sectPr>
      </w:pPr>
    </w:p>
    <w:p>
      <w:pPr>
        <w:spacing w:after="0" w:line="22" w:lineRule="exact"/>
        <w:rPr>
          <w:rFonts w:ascii="Times New Roman" w:cs="Times New Roman" w:eastAsia="Times New Roman" w:hAnsi="Times New Roman"/>
          <w:sz w:val="18"/>
          <w:szCs w:val="18"/>
          <w:color w:val="auto"/>
        </w:rPr>
      </w:pPr>
    </w:p>
    <w:p>
      <w:pPr>
        <w:ind w:left="1360" w:hanging="100"/>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w:t>
      </w:r>
    </w:p>
    <w:p>
      <w:pPr>
        <w:spacing w:after="0" w:line="277"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left="200" w:hanging="200"/>
        <w:spacing w:after="0" w:line="273" w:lineRule="auto"/>
        <w:tabs>
          <w:tab w:leader="none" w:pos="92"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Amended and Restated Bylaws of HBT Financial, Inc. (incorporated by reference to Exhibit 4.2 to</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the Company’s Registration Statement on Form S-8, filed with the SEC on October 30, 2019).</w:t>
        </w:r>
      </w:hyperlink>
    </w:p>
    <w:p>
      <w:pPr>
        <w:spacing w:after="0" w:line="1" w:lineRule="exact"/>
        <w:rPr>
          <w:rFonts w:ascii="Times New Roman" w:cs="Times New Roman" w:eastAsia="Times New Roman" w:hAnsi="Times New Roman"/>
          <w:sz w:val="18"/>
          <w:szCs w:val="18"/>
          <w:u w:val="single" w:color="auto"/>
          <w:color w:val="0000EE"/>
        </w:rPr>
      </w:pPr>
    </w:p>
    <w:p>
      <w:pPr>
        <w:ind w:left="200" w:right="200" w:hanging="200"/>
        <w:spacing w:after="0" w:line="266" w:lineRule="auto"/>
        <w:tabs>
          <w:tab w:leader="none" w:pos="92"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Indenture, dated March 11, 2026, by and between HBT Financial, Inc. and UMB Bank, N.A., as</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trustee (incorporated herein by reference to Exhibit 4.1 to the Company’s Current Report on</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Form 8-K filed with the SEC on March 11, 2026).</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6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87" w:lineRule="exact"/>
        <w:rPr>
          <w:rFonts w:ascii="Times New Roman" w:cs="Times New Roman" w:eastAsia="Times New Roman" w:hAnsi="Times New Roman"/>
          <w:sz w:val="18"/>
          <w:szCs w:val="18"/>
          <w:color w:val="auto"/>
        </w:rPr>
      </w:pPr>
    </w:p>
    <w:p>
      <w:pPr>
        <w:sectPr>
          <w:pgSz w:w="11900" w:h="16838" w:orient="portrait"/>
          <w:cols w:equalWidth="0" w:num="3">
            <w:col w:w="1580" w:space="180"/>
            <w:col w:w="7640" w:space="6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560" w:type="dxa"/>
            <w:vAlign w:val="bottom"/>
            <w:gridSpan w:val="8"/>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 xml:space="preserve">Forms of 5.75% Fixed-to-Floating Rate Subordinated Notes due 2036 (included as Exhibit A-1 and </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Exhibit A-2 to the Indenture incorporated herein by reference as Exhibit 4.1 hereto).</w:t>
              </w:r>
            </w:hyperlink>
          </w:p>
        </w:tc>
        <w:tc>
          <w:tcPr>
            <w:tcW w:w="112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560" w:type="dxa"/>
            <w:vAlign w:val="bottom"/>
            <w:gridSpan w:val="8"/>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 xml:space="preserve">Form of Registration Rights Agreement, dated March 11, 2026, by and among HBT Financial, Inc. </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and the Purchasers signatory thereto (incorporated herein by reference to Exhibit 10.2 to the</w:t>
              </w:r>
            </w:hyperlink>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5.1*</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Company’s Current Report on Form 8-K filed with the SEC on March 11, 2026).</w:t>
              </w:r>
            </w:hyperlink>
          </w:p>
        </w:tc>
        <w:tc>
          <w:tcPr>
            <w:tcW w:w="1380" w:type="dxa"/>
            <w:vAlign w:val="bottom"/>
            <w:gridSpan w:val="5"/>
          </w:tcPr>
          <w:p>
            <w:pPr>
              <w:spacing w:after="0"/>
              <w:rPr>
                <w:sz w:val="17"/>
                <w:szCs w:val="17"/>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7480" w:type="dxa"/>
            <w:vAlign w:val="bottom"/>
            <w:gridSpan w:val="7"/>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Opinion of Barack Ferrazzano Kirschbaum &amp; Nagelberg LLP</w:t>
              </w:r>
            </w:hyperlink>
            <w:r>
              <w:rPr>
                <w:rFonts w:ascii="Times New Roman" w:cs="Times New Roman" w:eastAsia="Times New Roman" w:hAnsi="Times New Roman"/>
                <w:sz w:val="18"/>
                <w:szCs w:val="18"/>
                <w:color w:val="000000"/>
              </w:rPr>
              <w:t>.</w:t>
            </w:r>
          </w:p>
        </w:tc>
        <w:tc>
          <w:tcPr>
            <w:tcW w:w="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7480" w:type="dxa"/>
            <w:vAlign w:val="bottom"/>
            <w:gridSpan w:val="7"/>
            <w:vMerge w:val="restart"/>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Subsidiaries of HBT Financial, Inc. (incorporated herein by reference to Exhibit 21.1 to the</w:t>
              </w:r>
            </w:hyperlink>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60" w:type="dxa"/>
            <w:vAlign w:val="bottom"/>
          </w:tcPr>
          <w:p>
            <w:pPr>
              <w:spacing w:after="0" w:line="41" w:lineRule="exact"/>
              <w:rPr>
                <w:sz w:val="20"/>
                <w:szCs w:val="20"/>
                <w:color w:val="auto"/>
              </w:rPr>
            </w:pPr>
            <w:r>
              <w:rPr>
                <w:rFonts w:ascii="Times New Roman" w:cs="Times New Roman" w:eastAsia="Times New Roman" w:hAnsi="Times New Roman"/>
                <w:sz w:val="4"/>
                <w:szCs w:val="4"/>
                <w:color w:val="auto"/>
              </w:rPr>
              <w:t>21.1</w:t>
            </w:r>
          </w:p>
        </w:tc>
        <w:tc>
          <w:tcPr>
            <w:tcW w:w="240" w:type="dxa"/>
            <w:vAlign w:val="bottom"/>
          </w:tcPr>
          <w:p>
            <w:pPr>
              <w:spacing w:after="0"/>
              <w:rPr>
                <w:sz w:val="3"/>
                <w:szCs w:val="3"/>
                <w:color w:val="auto"/>
              </w:rPr>
            </w:pPr>
          </w:p>
        </w:tc>
        <w:tc>
          <w:tcPr>
            <w:tcW w:w="7480" w:type="dxa"/>
            <w:vAlign w:val="bottom"/>
            <w:gridSpan w:val="7"/>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jc w:val="center"/>
        <w:ind w:right="-120"/>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Company’s Annual Report on Form 10-K filed with the SEC on March 6, 2026).</w:t>
        </w:r>
      </w:hyperlink>
    </w:p>
    <w:p>
      <w:pPr>
        <w:sectPr>
          <w:pgSz w:w="11900" w:h="16838" w:orient="portrait"/>
          <w:cols w:equalWidth="0" w:num="1">
            <w:col w:w="9879"/>
          </w:cols>
          <w:pgMar w:left="580" w:top="97" w:right="1440" w:bottom="1440" w:gutter="0" w:footer="0" w:header="0"/>
          <w:type w:val="continuous"/>
        </w:sectPr>
      </w:pPr>
    </w:p>
    <w:p>
      <w:pPr>
        <w:ind w:left="1260"/>
        <w:spacing w:after="0" w:line="183" w:lineRule="auto"/>
        <w:rPr>
          <w:sz w:val="20"/>
          <w:szCs w:val="20"/>
          <w:color w:val="auto"/>
        </w:rPr>
      </w:pPr>
      <w:r>
        <w:rPr>
          <w:rFonts w:ascii="Times New Roman" w:cs="Times New Roman" w:eastAsia="Times New Roman" w:hAnsi="Times New Roman"/>
          <w:sz w:val="11"/>
          <w:szCs w:val="11"/>
          <w:color w:val="auto"/>
        </w:rPr>
        <w:t>​</w:t>
      </w:r>
    </w:p>
    <w:p>
      <w:pPr>
        <w:ind w:left="1260"/>
        <w:spacing w:after="0"/>
        <w:rPr>
          <w:sz w:val="20"/>
          <w:szCs w:val="20"/>
          <w:color w:val="auto"/>
        </w:rPr>
      </w:pPr>
      <w:r>
        <w:rPr>
          <w:rFonts w:ascii="Times New Roman" w:cs="Times New Roman" w:eastAsia="Times New Roman" w:hAnsi="Times New Roman"/>
          <w:sz w:val="18"/>
          <w:szCs w:val="18"/>
          <w:color w:val="auto"/>
        </w:rPr>
        <w:t>23.1</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23.2*​</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​24.1*</w:t>
      </w:r>
    </w:p>
    <w:p>
      <w:pPr>
        <w:spacing w:after="0" w:line="2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​25.1*</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99.1*</w:t>
      </w:r>
    </w:p>
    <w:p>
      <w:pPr>
        <w:ind w:left="1260"/>
        <w:spacing w:after="0" w:line="187" w:lineRule="auto"/>
        <w:rPr>
          <w:sz w:val="20"/>
          <w:szCs w:val="20"/>
          <w:color w:val="auto"/>
        </w:rPr>
      </w:pPr>
      <w:r>
        <w:rPr>
          <w:rFonts w:ascii="Times New Roman" w:cs="Times New Roman" w:eastAsia="Times New Roman" w:hAnsi="Times New Roman"/>
          <w:sz w:val="7"/>
          <w:szCs w:val="7"/>
          <w:color w:val="auto"/>
        </w:rPr>
        <w:t>​</w:t>
      </w:r>
    </w:p>
    <w:p>
      <w:pPr>
        <w:ind w:left="126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ind w:left="100" w:hanging="100"/>
        <w:spacing w:after="0" w:line="204" w:lineRule="auto"/>
        <w:tabs>
          <w:tab w:leader="none" w:pos="10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Consent of RSM US LLP (filed herewith)</w:t>
      </w:r>
      <w:r>
        <w:rPr>
          <w:rFonts w:ascii="Times New Roman" w:cs="Times New Roman" w:eastAsia="Times New Roman" w:hAnsi="Times New Roman"/>
          <w:sz w:val="18"/>
          <w:szCs w:val="18"/>
          <w:color w:val="000000"/>
        </w:rPr>
        <w:t>.</w:t>
      </w:r>
    </w:p>
    <w:p>
      <w:pPr>
        <w:spacing w:after="0" w:line="1" w:lineRule="exact"/>
        <w:rPr>
          <w:rFonts w:ascii="Times New Roman" w:cs="Times New Roman" w:eastAsia="Times New Roman" w:hAnsi="Times New Roman"/>
          <w:sz w:val="36"/>
          <w:szCs w:val="36"/>
          <w:color w:val="auto"/>
          <w:vertAlign w:val="superscript"/>
        </w:rPr>
      </w:pPr>
    </w:p>
    <w:p>
      <w:pPr>
        <w:ind w:left="200" w:hanging="200"/>
        <w:spacing w:after="0" w:line="254" w:lineRule="auto"/>
        <w:tabs>
          <w:tab w:leader="none" w:pos="92" w:val="left"/>
        </w:tabs>
        <w:numPr>
          <w:ilvl w:val="0"/>
          <w:numId w:val="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Consent of Barack Ferrazzano Kirschbaum &amp; Nagelberg LLP (included in the opinion filed as</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Exhibit 5.1)</w:t>
        </w:r>
        <w:r>
          <w:rPr>
            <w:rFonts w:ascii="Times New Roman" w:cs="Times New Roman" w:eastAsia="Times New Roman" w:hAnsi="Times New Roman"/>
            <w:sz w:val="18"/>
            <w:szCs w:val="18"/>
            <w:color w:val="000000"/>
          </w:rPr>
          <w:t>.</w:t>
        </w:r>
      </w:hyperlink>
    </w:p>
    <w:p>
      <w:pPr>
        <w:ind w:left="200" w:right="400" w:hanging="200"/>
        <w:spacing w:after="0" w:line="281" w:lineRule="auto"/>
        <w:tabs>
          <w:tab w:leader="none" w:pos="92" w:val="left"/>
        </w:tabs>
        <w:numPr>
          <w:ilvl w:val="0"/>
          <w:numId w:val="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Power of Attorney (included in Part II as a part of the signature page of this Registration</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Statement)</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color w:val="0000EE"/>
        </w:rPr>
      </w:pPr>
    </w:p>
    <w:p>
      <w:pPr>
        <w:ind w:left="200" w:right="420" w:hanging="200"/>
        <w:spacing w:after="0" w:line="276" w:lineRule="auto"/>
        <w:tabs>
          <w:tab w:leader="none" w:pos="92"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Form T-1 Statement of Eligibility under the Trust Indenture Act of 1939, as amended, of</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UMB Bank, N.A.</w:t>
        </w:r>
      </w:hyperlink>
    </w:p>
    <w:p>
      <w:pPr>
        <w:spacing w:after="0" w:line="1" w:lineRule="exact"/>
        <w:rPr>
          <w:rFonts w:ascii="Times New Roman" w:cs="Times New Roman" w:eastAsia="Times New Roman" w:hAnsi="Times New Roman"/>
          <w:sz w:val="18"/>
          <w:szCs w:val="18"/>
          <w:u w:val="single" w:color="auto"/>
          <w:color w:val="0000EE"/>
        </w:rPr>
      </w:pPr>
    </w:p>
    <w:p>
      <w:pPr>
        <w:ind w:left="100" w:hanging="100"/>
        <w:spacing w:after="0" w:line="196" w:lineRule="auto"/>
        <w:tabs>
          <w:tab w:leader="none" w:pos="100" w:val="left"/>
        </w:tabs>
        <w:numPr>
          <w:ilvl w:val="0"/>
          <w:numId w:val="4"/>
        </w:numPr>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Form of Letter of Transmittal</w:t>
        </w:r>
      </w:hyperlink>
      <w:r>
        <w:rPr>
          <w:rFonts w:ascii="Times New Roman" w:cs="Times New Roman" w:eastAsia="Times New Roman" w:hAnsi="Times New Roman"/>
          <w:sz w:val="18"/>
          <w:szCs w:val="18"/>
          <w:color w:val="000000"/>
        </w:rPr>
        <w:t>.</w:t>
      </w:r>
    </w:p>
    <w:p>
      <w:pPr>
        <w:spacing w:after="0" w:line="1" w:lineRule="exact"/>
        <w:rPr>
          <w:rFonts w:ascii="Times New Roman" w:cs="Times New Roman" w:eastAsia="Times New Roman" w:hAnsi="Times New Roman"/>
          <w:sz w:val="18"/>
          <w:szCs w:val="18"/>
          <w:color w:val="0000EE"/>
        </w:rPr>
      </w:pPr>
    </w:p>
    <w:p>
      <w:pPr>
        <w:ind w:left="100" w:hanging="100"/>
        <w:spacing w:after="0" w:line="232" w:lineRule="auto"/>
        <w:tabs>
          <w:tab w:leader="none" w:pos="100" w:val="left"/>
        </w:tabs>
        <w:numPr>
          <w:ilvl w:val="0"/>
          <w:numId w:val="4"/>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Filing Fee Table</w:t>
        </w:r>
      </w:hyperlink>
      <w:r>
        <w:rPr>
          <w:rFonts w:ascii="Times New Roman" w:cs="Times New Roman" w:eastAsia="Times New Roman" w:hAnsi="Times New Roman"/>
          <w:sz w:val="18"/>
          <w:szCs w:val="18"/>
          <w:color w:val="000000"/>
        </w:rPr>
        <w:t>.</w:t>
      </w:r>
    </w:p>
    <w:p>
      <w:pPr>
        <w:spacing w:after="0" w:line="20" w:lineRule="exact"/>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6"/>
          <w:szCs w:val="36"/>
          <w:color w:val="auto"/>
          <w:vertAlign w:val="superscript"/>
        </w:rPr>
        <w:drawing>
          <wp:anchor simplePos="0" relativeHeight="251657728" behindDoc="1" locked="0" layoutInCell="0" allowOverlap="1">
            <wp:simplePos x="0" y="0"/>
            <wp:positionH relativeFrom="column">
              <wp:posOffset>-316865</wp:posOffset>
            </wp:positionH>
            <wp:positionV relativeFrom="paragraph">
              <wp:posOffset>36195</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6"/>
          <w:szCs w:val="36"/>
          <w:color w:val="auto"/>
          <w:vertAlign w:val="superscript"/>
        </w:rPr>
        <w:br w:type="column"/>
      </w:r>
    </w:p>
    <w:p>
      <w:pPr>
        <w:spacing w:after="0" w:line="7"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36"/>
          <w:szCs w:val="36"/>
          <w:color w:val="auto"/>
          <w:vertAlign w:val="superscript"/>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36"/>
          <w:szCs w:val="36"/>
          <w:color w:val="auto"/>
          <w:vertAlign w:val="superscript"/>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7" w:lineRule="exact"/>
        <w:rPr>
          <w:rFonts w:ascii="Times New Roman" w:cs="Times New Roman" w:eastAsia="Times New Roman" w:hAnsi="Times New Roman"/>
          <w:sz w:val="36"/>
          <w:szCs w:val="36"/>
          <w:color w:val="auto"/>
          <w:vertAlign w:val="superscript"/>
        </w:rPr>
      </w:pPr>
    </w:p>
    <w:p>
      <w:pPr>
        <w:sectPr>
          <w:pgSz w:w="11900" w:h="16838" w:orient="portrait"/>
          <w:cols w:equalWidth="0" w:num="3">
            <w:col w:w="1680" w:space="80"/>
            <w:col w:w="7300" w:space="400"/>
            <w:col w:w="419"/>
          </w:cols>
          <w:pgMar w:left="580" w:top="97" w:right="1440" w:bottom="1440" w:gutter="0" w:footer="0" w:header="0"/>
          <w:type w:val="continuous"/>
        </w:sectPr>
      </w:pPr>
    </w:p>
    <w:p>
      <w:pPr>
        <w:spacing w:after="0" w:line="1" w:lineRule="exact"/>
        <w:rPr>
          <w:rFonts w:ascii="Times New Roman" w:cs="Times New Roman" w:eastAsia="Times New Roman" w:hAnsi="Times New Roman"/>
          <w:sz w:val="36"/>
          <w:szCs w:val="36"/>
          <w:color w:val="auto"/>
          <w:vertAlign w:val="superscript"/>
        </w:rPr>
      </w:pPr>
    </w:p>
    <w:p>
      <w:pPr>
        <w:ind w:left="1620" w:hanging="360"/>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68" w:lineRule="exact"/>
        <w:rPr>
          <w:rFonts w:ascii="Times New Roman" w:cs="Times New Roman" w:eastAsia="Times New Roman" w:hAnsi="Times New Roman"/>
          <w:sz w:val="36"/>
          <w:szCs w:val="36"/>
          <w:color w:val="auto"/>
          <w:vertAlign w:val="superscript"/>
        </w:rPr>
      </w:pPr>
    </w:p>
    <w:p>
      <w:pPr>
        <w:jc w:val="right"/>
        <w:ind w:right="439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6"/>
          <w:szCs w:val="36"/>
          <w:color w:val="auto"/>
          <w:vertAlign w:val="superscript"/>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ind w:left="1980" w:right="57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ind w:left="2340" w:right="559" w:hanging="360"/>
        <w:spacing w:after="0" w:line="253" w:lineRule="auto"/>
        <w:tabs>
          <w:tab w:leader="none" w:pos="2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42" w:lineRule="exact"/>
        <w:rPr>
          <w:rFonts w:ascii="Times New Roman" w:cs="Times New Roman" w:eastAsia="Times New Roman" w:hAnsi="Times New Roman"/>
          <w:sz w:val="18"/>
          <w:szCs w:val="18"/>
          <w:color w:val="auto"/>
        </w:rPr>
      </w:pPr>
    </w:p>
    <w:p>
      <w:pPr>
        <w:ind w:left="2340" w:right="799" w:hanging="360"/>
        <w:spacing w:after="0" w:line="266" w:lineRule="auto"/>
        <w:tabs>
          <w:tab w:leader="none" w:pos="2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rFonts w:ascii="Times New Roman" w:cs="Times New Roman" w:eastAsia="Times New Roman" w:hAnsi="Times New Roman"/>
          <w:sz w:val="18"/>
          <w:szCs w:val="18"/>
          <w:color w:val="auto"/>
        </w:rPr>
      </w:pPr>
    </w:p>
    <w:p>
      <w:pPr>
        <w:ind w:left="1980" w:right="439" w:hanging="360"/>
        <w:spacing w:after="0" w:line="261"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undersigned registrant hereby undertakes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2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0" w:lineRule="exact"/>
        <w:rPr>
          <w:sz w:val="20"/>
          <w:szCs w:val="20"/>
          <w:color w:val="auto"/>
        </w:rPr>
      </w:pPr>
    </w:p>
    <w:p>
      <w:pPr>
        <w:ind w:left="1980" w:right="81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1980" w:right="73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left="1980" w:right="939" w:hanging="360"/>
        <w:spacing w:after="0" w:line="26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39" w:hanging="360"/>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w:t>
      </w:r>
    </w:p>
    <w:p>
      <w:pPr>
        <w:ind w:left="1260" w:right="619"/>
        <w:spacing w:after="0" w:line="253" w:lineRule="auto"/>
        <w:rPr>
          <w:sz w:val="20"/>
          <w:szCs w:val="20"/>
          <w:color w:val="auto"/>
        </w:rPr>
      </w:pPr>
      <w:r>
        <w:rPr>
          <w:rFonts w:ascii="Times New Roman" w:cs="Times New Roman" w:eastAsia="Times New Roman" w:hAnsi="Times New Roman"/>
          <w:sz w:val="18"/>
          <w:szCs w:val="18"/>
          <w:color w:val="auto"/>
        </w:rPr>
        <w:t xml:space="preserve">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1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w:t>
      </w:r>
    </w:p>
    <w:p>
      <w:pPr>
        <w:ind w:left="1260" w:right="739"/>
        <w:spacing w:after="0" w:line="255" w:lineRule="auto"/>
        <w:tabs>
          <w:tab w:leader="none" w:pos="15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8"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w:t>
      </w:r>
    </w:p>
    <w:p>
      <w:pPr>
        <w:spacing w:after="0" w:line="27" w:lineRule="exact"/>
        <w:rPr>
          <w:sz w:val="20"/>
          <w:szCs w:val="20"/>
          <w:color w:val="auto"/>
        </w:rPr>
      </w:pPr>
    </w:p>
    <w:p>
      <w:pPr>
        <w:ind w:left="1260" w:right="439"/>
        <w:spacing w:after="0" w:line="276" w:lineRule="auto"/>
        <w:rPr>
          <w:sz w:val="20"/>
          <w:szCs w:val="20"/>
          <w:color w:val="auto"/>
        </w:rPr>
      </w:pPr>
      <w:r>
        <w:rPr>
          <w:rFonts w:ascii="Times New Roman" w:cs="Times New Roman" w:eastAsia="Times New Roman" w:hAnsi="Times New Roman"/>
          <w:sz w:val="18"/>
          <w:szCs w:val="18"/>
          <w:color w:val="auto"/>
        </w:rPr>
        <w:t>Statement to be signed on its behalf by the undersigned, thereunto duly authorized, in Bloomington, State of Illinois, on June 12, 2026.</w:t>
      </w:r>
    </w:p>
    <w:p>
      <w:pPr>
        <w:spacing w:after="0" w:line="17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HBT FINANCIAL, INC.</w:t>
      </w:r>
    </w:p>
    <w:p>
      <w:pPr>
        <w:spacing w:after="0" w:line="200" w:lineRule="exact"/>
        <w:rPr>
          <w:sz w:val="20"/>
          <w:szCs w:val="20"/>
          <w:color w:val="auto"/>
        </w:rPr>
      </w:pPr>
    </w:p>
    <w:p>
      <w:pPr>
        <w:spacing w:after="0" w:line="2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 Lance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11"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J. Lance Carter</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153"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on June 12, 2026 by the following persons in the capacities indicated below.</w:t>
      </w:r>
    </w:p>
    <w:p>
      <w:pPr>
        <w:jc w:val="both"/>
        <w:ind w:left="1260"/>
        <w:spacing w:after="0"/>
        <w:tabs>
          <w:tab w:leader="none" w:pos="2480" w:val="left"/>
          <w:tab w:leader="none" w:pos="4340" w:val="left"/>
          <w:tab w:leader="none" w:pos="6700" w:val="left"/>
          <w:tab w:leader="none" w:pos="94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Signature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Capacity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/s/ J. Lance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1920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 Lance Carter</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ind w:left="1260"/>
        <w:spacing w:after="0" w:line="18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920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Peter R. Chapman</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ind w:left="1260"/>
        <w:spacing w:after="0" w:line="18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920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Fred L. Drake</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ind w:left="1260"/>
        <w:spacing w:after="0" w:line="18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9202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James T. Ashworth</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ind w:left="1260"/>
        <w:spacing w:after="0" w:line="18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920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Roger A. Baker</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ind w:left="1260"/>
        <w:spacing w:after="0" w:line="18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920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C. Alvin Bowman</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ind w:left="1260"/>
        <w:spacing w:after="0" w:line="18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920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Eric E. Burwell</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ind w:left="1260"/>
        <w:spacing w:after="0" w:line="18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920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Patrick F. Busch</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ind w:left="1260"/>
        <w:spacing w:after="0" w:line="18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920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Allen C. Drake</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-34925</wp:posOffset>
            </wp:positionV>
            <wp:extent cx="1920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Linda J. Koch</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2"/>
        </w:trPr>
        <w:tc>
          <w:tcPr>
            <w:tcW w:w="502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President and Chief Executive Officer</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 w:type="dxa"/>
            <w:vAlign w:val="bottom"/>
          </w:tcPr>
          <w:p>
            <w:pPr>
              <w:spacing w:after="0"/>
              <w:rPr>
                <w:sz w:val="20"/>
                <w:szCs w:val="20"/>
                <w:color w:val="auto"/>
              </w:rPr>
            </w:pPr>
          </w:p>
        </w:tc>
      </w:tr>
      <w:tr>
        <w:trPr>
          <w:trHeight w:val="45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0" w:type="dxa"/>
            <w:vAlign w:val="bottom"/>
          </w:tcPr>
          <w:p>
            <w:pPr>
              <w:spacing w:after="0"/>
              <w:rPr>
                <w:sz w:val="24"/>
                <w:szCs w:val="24"/>
                <w:color w:val="auto"/>
              </w:rPr>
            </w:pPr>
          </w:p>
        </w:tc>
      </w:tr>
      <w:tr>
        <w:trPr>
          <w:trHeight w:val="475"/>
        </w:trPr>
        <w:tc>
          <w:tcPr>
            <w:tcW w:w="502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(Principal Financial Officer and Principal Accounting Officer)</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49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 Executive Chairman and Director</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8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 Director</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8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 Director</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8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 Director</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8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 Director</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8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 Director</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8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 Director</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76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 Director</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368" w:lineRule="exact"/>
        <w:rPr>
          <w:sz w:val="20"/>
          <w:szCs w:val="20"/>
          <w:color w:val="auto"/>
        </w:rPr>
      </w:pPr>
    </w:p>
    <w:p>
      <w:pPr>
        <w:sectPr>
          <w:pgSz w:w="11900" w:h="16838" w:orient="portrait"/>
          <w:cols w:equalWidth="0" w:num="2">
            <w:col w:w="3600" w:space="720"/>
            <w:col w:w="5559"/>
          </w:cols>
          <w:pgMar w:left="580" w:top="97" w:right="1440" w:bottom="1440" w:gutter="0" w:footer="0" w:header="0"/>
          <w:type w:val="continuous"/>
        </w:sectPr>
      </w:pPr>
    </w:p>
    <w:p>
      <w:pPr>
        <w:spacing w:after="0" w:line="2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500" w:hanging="1240"/>
        <w:spacing w:after="0"/>
        <w:tabs>
          <w:tab w:leader="none" w:pos="2500" w:val="left"/>
        </w:tabs>
        <w:numPr>
          <w:ilvl w:val="0"/>
          <w:numId w:val="10"/>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19373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19202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J. Morton</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ind w:left="1260"/>
        <w:spacing w:after="0" w:line="18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9202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Gerald E. Pfeiffer</w:t>
      </w: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-13335</wp:posOffset>
            </wp:positionV>
            <wp:extent cx="19202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Nancy L. Ruyle</w:t>
      </w:r>
    </w:p>
    <w:p>
      <w:pPr>
        <w:spacing w:after="0" w:line="200" w:lineRule="exact"/>
        <w:rPr>
          <w:sz w:val="20"/>
          <w:szCs w:val="20"/>
          <w:color w:val="auto"/>
        </w:rPr>
      </w:pPr>
    </w:p>
    <w:p>
      <w:pPr>
        <w:spacing w:after="0" w:line="397"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8"/>
          <w:szCs w:val="18"/>
          <w:color w:val="auto"/>
        </w:rPr>
        <w:t>*​ By: /s/ J. Lance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34290</wp:posOffset>
            </wp:positionV>
            <wp:extent cx="16116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J. Lance Carter</w:t>
      </w:r>
    </w:p>
    <w:p>
      <w:pPr>
        <w:spacing w:after="0" w:line="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tabs>
          <w:tab w:leader="none" w:pos="2420" w:val="left"/>
          <w:tab w:leader="none" w:pos="51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Capacity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29210</wp:posOffset>
            </wp:positionV>
            <wp:extent cx="3145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284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9"/>
        </w:trPr>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1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spacing w:after="0"/>
              <w:rPr>
                <w:sz w:val="24"/>
                <w:szCs w:val="24"/>
                <w:color w:val="auto"/>
              </w:rPr>
            </w:pPr>
          </w:p>
        </w:tc>
        <w:tc>
          <w:tcPr>
            <w:tcW w:w="22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-2727325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3560" w:space="720"/>
            <w:col w:w="5599"/>
          </w:cols>
          <w:pgMar w:left="580" w:top="97"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We consent to the incorporation by reference in this Amendment No. 1 to the Registration Statement (No. 333-296272) on Form S-4 of HBT Financial, Inc. of our reports dated March 6, 2026, relating to the consolidated financial statements and the effectiveness of internal control over financial reporting of HBT Financial, Inc., appearing in the Annual Report on Form 10-K of HBT Financial, Inc. for the year ended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also consent to the reference to our firm under the heading "Experts" in such Registration Statement.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RSM US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7"/>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lvl w:ilvl="1">
      <w:lvlJc w:val="left"/>
      <w:lvlText w:val="(%2)"/>
      <w:numFmt w:val="lowerRoman"/>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Roman"/>
      <w:start w:val="4"/>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17" Type="http://schemas.openxmlformats.org/officeDocument/2006/relationships/hyperlink" Target="https://www.sec.gov/Archives/edgar/data/775215/000110465919057911/a19-21406_1ex4d1.htm#Exhibit4_1_084105" TargetMode="External"/><Relationship Id="rId18" Type="http://schemas.openxmlformats.org/officeDocument/2006/relationships/hyperlink" Target="https://www.sec.gov/Archives/edgar/data/775215/000110465919057911/a19-21406_1ex4d2.htm#Exhibit4_2_084350" TargetMode="External"/><Relationship Id="rId19" Type="http://schemas.openxmlformats.org/officeDocument/2006/relationships/hyperlink" Target="https://www.sec.gov/Archives/edgar/data/775215/000077521526000028/hbt-20260311ex41.htm" TargetMode="External"/><Relationship Id="rId20" Type="http://schemas.openxmlformats.org/officeDocument/2006/relationships/hyperlink" Target="https://www.sec.gov/Archives/edgar/data/775215/000077521526000028/hbt-20260311ex102.htm" TargetMode="External"/><Relationship Id="rId21" Type="http://schemas.openxmlformats.org/officeDocument/2006/relationships/hyperlink" Target="https://www.sec.gov/Archives/edgar/data/775215/000110465926066957/tm2615486d2_ex5-1.htm" TargetMode="External"/><Relationship Id="rId22" Type="http://schemas.openxmlformats.org/officeDocument/2006/relationships/hyperlink" Target="https://www.sec.gov/Archives/edgar/data/775215/000077521526000025/hbt-20251231xex211.htm" TargetMode="External"/><Relationship Id="rId23" Type="http://schemas.openxmlformats.org/officeDocument/2006/relationships/hyperlink" Target="https://www.sec.gov/Archives/edgar/data/775215/000110465926066957/tm2615486-1_s4.htm#tPOWA" TargetMode="External"/><Relationship Id="rId24" Type="http://schemas.openxmlformats.org/officeDocument/2006/relationships/hyperlink" Target="https://www.sec.gov/Archives/edgar/data/775215/000110465926066957/tm2615486d2_ex25-1.htm" TargetMode="External"/><Relationship Id="rId25" Type="http://schemas.openxmlformats.org/officeDocument/2006/relationships/hyperlink" Target="https://www.sec.gov/Archives/edgar/data/775215/000110465926066957/tm2615486d2_ex99-1.htm" TargetMode="External"/><Relationship Id="rId26" Type="http://schemas.openxmlformats.org/officeDocument/2006/relationships/hyperlink" Target="https://www.sec.gov/ix?doc=/Archives/edgar/data/775215/000110465926066957/tm2615486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2026-06-12T15:35:27Z</dcterms:created>
  <dcterms:modified xsi:type="dcterms:W3CDTF">2026-06-12T15:35:27Z</dcterms:modified>
</cp:coreProperties>
</file>