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3736-1_s3a.htm"/>
        <w:bookmarkStart w:id="1" w:name="kstm26137361_s3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304800</wp:posOffset>
                </wp:positionH>
                <wp:positionV relativeFrom="page">
                  <wp:posOffset>9383395</wp:posOffset>
                </wp:positionV>
                <wp:extent cx="7560310" cy="381000"/>
                <wp:effectExtent l="0" t="0" r="0" b="0"/>
                <wp:wrapNone/>
                <wp:docPr id="1" name="Frame6"/>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containing this prospectus filed with the Securities and Exchange Commission is effective. This prospectus is not an offer to sell these securities and it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24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containing this prospectus filed with the Securities and Exchange Commission is effective. This prospectus is not an offer to sell these securities and it is not soliciting an offer to buy these securities in any state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May 13,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333-293623</w:t>
      </w:r>
      <w:r>
        <w:rPr>
          <w:rFonts w:ascii="Times New Roman;Times;serif" w:hAnsi="Times New Roman;Times;serif"/>
          <w:b/>
          <w:i w:val="false"/>
          <w:caps w:val="false"/>
          <w:smallCaps w:val="false"/>
          <w:color w:val="000000"/>
          <w:sz w:val="18"/>
        </w:rPr>
        <w:t>​</w:t>
      </w:r>
    </w:p>
    <w:p>
      <w:pPr>
        <w:pStyle w:val="TextBody"/>
        <w:bidi w:val="0"/>
        <w:spacing w:before="27"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6"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3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13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1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NO.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pacing w:val="-6"/>
          <w:sz w:val="28"/>
        </w:rPr>
      </w:pPr>
      <w:r>
        <w:rPr>
          <w:rFonts w:ascii="Times New Roman;Times;serif" w:hAnsi="Times New Roman;Times;serif"/>
          <w:b/>
          <w:i w:val="false"/>
          <w:caps w:val="false"/>
          <w:smallCaps w:val="false"/>
          <w:color w:val="000000"/>
          <w:spacing w:val="-6"/>
          <w:sz w:val="28"/>
        </w:rPr>
        <w:t xml:space="preserve">FORM S-3 </w:t>
      </w:r>
    </w:p>
    <w:p>
      <w:pPr>
        <w:pStyle w:val="TextBody"/>
        <w:bidi w:val="0"/>
        <w:spacing w:lineRule="atLeast" w:line="210" w:before="40" w:after="283"/>
        <w:jc w:val="center"/>
        <w:rPr>
          <w:rFonts w:ascii="Times New Roman;Times;serif" w:hAnsi="Times New Roman;Times;serif"/>
          <w:b/>
          <w:i/>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caps w:val="false"/>
          <w:smallCaps w:val="false"/>
          <w:color w:val="000000"/>
          <w:sz w:val="18"/>
        </w:rPr>
        <w:t xml:space="preserve"> </w:t>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caps w:val="false"/>
          <w:smallCaps w:val="false"/>
          <w:color w:val="000000"/>
          <w:sz w:val="18"/>
        </w:rPr>
        <w:t xml:space="preserve"> </w:t>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caps w:val="false"/>
          <w:smallCaps w:val="false"/>
          <w:color w:val="000000"/>
          <w:spacing w:val="4"/>
          <w:sz w:val="1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34"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HBT FINANCIAL, INC.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p>
      <w:pPr>
        <w:pStyle w:val="TextBody"/>
        <w:bidi w:val="0"/>
        <w:spacing w:before="15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505" w:type="dxa"/>
        <w:jc w:val="left"/>
        <w:tblInd w:w="540" w:type="dxa"/>
        <w:tblLayout w:type="fixed"/>
        <w:tblCellMar>
          <w:top w:w="0" w:type="dxa"/>
          <w:left w:w="0" w:type="dxa"/>
          <w:bottom w:w="0" w:type="dxa"/>
          <w:right w:w="0" w:type="dxa"/>
        </w:tblCellMar>
      </w:tblPr>
      <w:tblGrid>
        <w:gridCol w:w="124"/>
        <w:gridCol w:w="3058"/>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b/>
                <w:sz w:val="18"/>
              </w:rPr>
            </w:pPr>
            <w:r>
              <w:rPr>
                <w:b/>
                <w:spacing w:val="-4"/>
                <w:sz w:val="18"/>
              </w:rPr>
              <w:t>37-1117216</w:t>
            </w:r>
            <w:r>
              <w:rPr>
                <w:b/>
                <w:sz w:val="18"/>
              </w:rPr>
              <w:t xml:space="preserve"> </w:t>
            </w:r>
          </w:p>
          <w:p>
            <w:pPr>
              <w:pStyle w:val="TableContents"/>
              <w:bidi w:val="0"/>
              <w:spacing w:lineRule="atLeast" w:line="180" w:before="36" w:after="283"/>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36"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401 North Hershey Road</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Bloomington, Illinois 61704</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(888) 897-2276 </w:t>
      </w:r>
    </w:p>
    <w:p>
      <w:pPr>
        <w:pStyle w:val="TextBody"/>
        <w:bidi w:val="0"/>
        <w:spacing w:lineRule="atLeast" w:line="200" w:before="3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1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J. Lance Carter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President and Chief Executive Officer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401 North Hershey Road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 xml:space="preserve">Bloomington, Illinois 61704 (888) 897-2276 </w:t>
      </w:r>
    </w:p>
    <w:p>
      <w:pPr>
        <w:pStyle w:val="TextBody"/>
        <w:bidi w:val="0"/>
        <w:spacing w:lineRule="atLeast" w:line="200" w:before="38"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16"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Copy to:</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Abdul R. Mitha, Esq.</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Barack Ferrazzano Kirschbaum &amp; Nagelberg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200 West Madison Street, Suite 3900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Chicago, Illinois 60606</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(312) 984-3100</w:t>
      </w:r>
      <w:r>
        <w:rPr>
          <w:rFonts w:ascii="Times New Roman;Times;serif" w:hAnsi="Times New Roman;Times;serif"/>
          <w:b/>
          <w:i w:val="false"/>
          <w:caps w:val="false"/>
          <w:smallCaps w:val="false"/>
          <w:color w:val="000000"/>
          <w:spacing w:val="4"/>
          <w:sz w:val="18"/>
        </w:rPr>
        <w:t xml:space="preserve"> </w:t>
      </w:r>
    </w:p>
    <w:p>
      <w:pPr>
        <w:pStyle w:val="TextBody"/>
        <w:bidi w:val="0"/>
        <w:spacing w:before="11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6"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w:t>
      </w:r>
      <w:r>
        <w:rPr>
          <w:rFonts w:ascii="Times New Roman;Times;serif" w:hAnsi="Times New Roman;Times;serif"/>
          <w:b w:val="false"/>
          <w:i w:val="false"/>
          <w:caps w:val="false"/>
          <w:smallCaps w:val="false"/>
          <w:color w:val="000000"/>
          <w:spacing w:val="4"/>
          <w:sz w:val="18"/>
        </w:rPr>
        <w:t xml:space="preserve">: From time to time after the effective date of this registration statement.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If this form is filed to register additional securities for an offering pursuant to Rule 462(b) under the Securities Act, please check the</w:t>
      </w:r>
      <w:r>
        <w:rPr>
          <w:rFonts w:ascii="Times New Roman;Times;serif" w:hAnsi="Times New Roman;Times;serif"/>
          <w:b w:val="false"/>
          <w:i w:val="false"/>
          <w:caps w:val="false"/>
          <w:smallCaps w:val="false"/>
          <w:color w:val="000000"/>
          <w:sz w:val="18"/>
        </w:rPr>
        <w:t xml:space="preserve"> </w:t>
        <w:br/>
      </w:r>
      <w:r>
        <w:rPr>
          <w:rFonts w:ascii="Times New Roman;Times;serif" w:hAnsi="Times New Roman;Times;serif"/>
          <w:b w:val="false"/>
          <w:i w:val="false"/>
          <w:caps w:val="false"/>
          <w:smallCaps w:val="false"/>
          <w:color w:val="000000"/>
          <w:spacing w:val="4"/>
          <w:sz w:val="18"/>
        </w:rPr>
        <w:t xml:space="preserve">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9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68" w:type="dxa"/>
        <w:jc w:val="left"/>
        <w:tblInd w:w="540" w:type="dxa"/>
        <w:tblLayout w:type="fixed"/>
        <w:tblCellMar>
          <w:top w:w="0" w:type="dxa"/>
          <w:left w:w="0" w:type="dxa"/>
          <w:bottom w:w="0" w:type="dxa"/>
          <w:right w:w="0" w:type="dxa"/>
        </w:tblCellMar>
      </w:tblPr>
      <w:tblGrid>
        <w:gridCol w:w="124"/>
        <w:gridCol w:w="229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219200" cy="525780"/>
                      <wp:effectExtent l="0" t="0" r="0" b="0"/>
                      <wp:wrapSquare wrapText="right"/>
                      <wp:docPr id="2" name="Frame1"/>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52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lineRule="atLeast" w:line="180" w:before="0" w:after="0"/>
              <w:ind w:left="1920" w:right="0" w:hanging="0"/>
              <w:jc w:val="left"/>
              <w:rPr>
                <w:spacing w:val="4"/>
              </w:rPr>
            </w:pPr>
            <w:r>
              <w:rPr>
                <w:spacing w:val="4"/>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219200" cy="525780"/>
                      <wp:effectExtent l="0" t="0" r="0" b="0"/>
                      <wp:wrapSquare wrapText="right"/>
                      <wp:docPr id="4" name="Frame3"/>
                      <a:graphic xmlns:a="http://schemas.openxmlformats.org/drawingml/2006/main">
                        <a:graphicData uri="http://schemas.microsoft.com/office/word/2010/wordprocessingShape">
                          <wps:wsp>
                            <wps:cNvSpPr txBox="1"/>
                            <wps:spPr>
                              <a:xfrm>
                                <a:off x="0" y="0"/>
                                <a:ext cx="1219200" cy="52578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524000" cy="525780"/>
                      <wp:effectExtent l="0" t="0" r="0" b="0"/>
                      <wp:wrapSquare wrapText="right"/>
                      <wp:docPr id="5"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524000" cy="525780"/>
                      <wp:effectExtent l="0" t="0" r="0" b="0"/>
                      <wp:wrapSquare wrapText="right"/>
                      <wp:docPr id="6"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90" w:before="218"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90" w:before="8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4"/>
          <w:sz w:val="18"/>
        </w:rPr>
        <w:t xml:space="preserve"> </w:t>
      </w:r>
    </w:p>
    <w:p>
      <w:pPr>
        <w:pStyle w:val="TextBody"/>
        <w:bidi w:val="0"/>
        <w:spacing w:before="89"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8"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557" w:after="437"/>
        <w:ind w:left="1260" w:right="0" w:hanging="0"/>
        <w:jc w:val="center"/>
        <w:rPr>
          <w:rFonts w:ascii="Times New Roman;Times;serif" w:hAnsi="Times New Roman;Times;serif"/>
          <w:b/>
          <w:i w:val="false"/>
          <w:caps w:val="false"/>
          <w:smallCaps w:val="false"/>
          <w:color w:val="FC0014"/>
          <w:sz w:val="18"/>
        </w:rPr>
      </w:pPr>
      <w:r>
        <w:rPr>
          <w:rFonts w:ascii="Times New Roman;Times;serif" w:hAnsi="Times New Roman;Times;serif"/>
          <w:b/>
          <w:i w:val="false"/>
          <w:caps w:val="false"/>
          <w:smallCaps w:val="false"/>
          <w:color w:val="FC0014"/>
          <w:spacing w:val="-4"/>
          <w:sz w:val="18"/>
        </w:rPr>
        <w:t>SUBJECT TO COMPLETION DATED MAY 13,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240" w:after="283"/>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PROSPECTUS</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$150,000,000</w:t>
      </w:r>
      <w:r>
        <w:rPr>
          <w:rFonts w:ascii="Times New Roman;Times;serif" w:hAnsi="Times New Roman;Times;serif"/>
          <w:b/>
          <w:i w:val="false"/>
          <w:caps w:val="false"/>
          <w:smallCaps w:val="false"/>
          <w:color w:val="000000"/>
          <w:spacing w:val="5"/>
          <w:sz w:val="24"/>
        </w:rPr>
        <w:t xml:space="preserve"> </w:t>
      </w:r>
    </w:p>
    <w:p>
      <w:pPr>
        <w:pStyle w:val="TextBody"/>
        <w:bidi w:val="0"/>
        <w:spacing w:before="120" w:after="283"/>
        <w:jc w:val="center"/>
        <w:rPr>
          <w:caps w:val="false"/>
          <w:smallCaps w:val="false"/>
          <w:color w:val="000000"/>
        </w:rPr>
      </w:pPr>
      <w:r>
        <w:rPr>
          <w:caps w:val="false"/>
          <w:smallCaps w:val="false"/>
          <w:color w:val="000000"/>
        </w:rPr>
        <w:drawing>
          <wp:inline distT="0" distB="0" distL="0" distR="0">
            <wp:extent cx="2409825" cy="9144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409825" cy="914400"/>
                    </a:xfrm>
                    <a:prstGeom prst="rect">
                      <a:avLst/>
                    </a:prstGeom>
                  </pic:spPr>
                </pic:pic>
              </a:graphicData>
            </a:graphic>
          </wp:inline>
        </w:drawing>
      </w:r>
      <w:r>
        <w:rPr>
          <w:caps w:val="false"/>
          <w:smallCaps w:val="false"/>
          <w:color w:val="000000"/>
        </w:rPr>
        <w:t xml:space="preserve"> </w:t>
      </w:r>
    </w:p>
    <w:p>
      <w:pPr>
        <w:pStyle w:val="TextBody"/>
        <w:bidi w:val="0"/>
        <w:spacing w:lineRule="atLeast" w:line="270" w:before="328"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Common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Preferred Stock</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Debt Securities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Warrants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Depositary Shares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Subscription Rights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Stock Purchase Contracts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Stock Purchase Units</w:t>
      </w:r>
      <w:r>
        <w:rPr>
          <w:rFonts w:ascii="Times New Roman;Times;serif" w:hAnsi="Times New Roman;Times;serif"/>
          <w:b/>
          <w:i w:val="false"/>
          <w:caps w:val="false"/>
          <w:smallCaps w:val="false"/>
          <w:color w:val="000000"/>
          <w:sz w:val="24"/>
        </w:rPr>
        <w:t xml:space="preserve"> </w:t>
        <w:br/>
      </w:r>
      <w:r>
        <w:rPr>
          <w:rFonts w:ascii="Times New Roman;Times;serif" w:hAnsi="Times New Roman;Times;serif"/>
          <w:b/>
          <w:i w:val="false"/>
          <w:caps w:val="false"/>
          <w:smallCaps w:val="false"/>
          <w:color w:val="000000"/>
          <w:spacing w:val="-5"/>
          <w:sz w:val="24"/>
        </w:rPr>
        <w:t xml:space="preserve">Units </w:t>
      </w:r>
    </w:p>
    <w:p>
      <w:pPr>
        <w:pStyle w:val="TextBody"/>
        <w:bidi w:val="0"/>
        <w:spacing w:lineRule="atLeast" w:line="270" w:before="1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and </w:t>
      </w:r>
      <w:r>
        <w:rPr>
          <w:rFonts w:ascii="Times New Roman;Times;serif" w:hAnsi="Times New Roman;Times;serif"/>
          <w:b/>
          <w:i w:val="false"/>
          <w:caps w:val="false"/>
          <w:smallCaps w:val="false"/>
          <w:color w:val="000000"/>
          <w:sz w:val="24"/>
        </w:rPr>
        <w:br/>
      </w:r>
      <w:r>
        <w:rPr>
          <w:rFonts w:ascii="Times New Roman;Times;serif" w:hAnsi="Times New Roman;Times;serif"/>
          <w:b/>
          <w:i w:val="false"/>
          <w:caps w:val="false"/>
          <w:smallCaps w:val="false"/>
          <w:color w:val="000000"/>
          <w:spacing w:val="-5"/>
          <w:sz w:val="24"/>
        </w:rPr>
        <w:t>4,000,000 shares of Common Stock Offered by the Selling Stockholder</w:t>
      </w:r>
      <w:r>
        <w:rPr>
          <w:rFonts w:ascii="Times New Roman;Times;serif" w:hAnsi="Times New Roman;Times;serif"/>
          <w:b/>
          <w:i w:val="false"/>
          <w:caps w:val="false"/>
          <w:smallCaps w:val="false"/>
          <w:color w:val="000000"/>
          <w:spacing w:val="5"/>
          <w:sz w:val="24"/>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50"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HBT Financial, Inc. (“we,” “us,” “our” or the “Company”) may offer and sell, at any time and from time to time, in one or more offerings, together or separately, any combination of the securities described in this prospectus. The aggregate initial offering price of the securities that we offer will not exceed $150,000,000.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 addition, the selling stockholder identified herein may from time to time offer and sell up to 4,000,000 shares of our common stock. We will not receive any of the proceeds from the sale of our common stock by the selling stockholder.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This prospectus describes some of the general terms that may apply to these securities and the general manner in which they may be offered. Each time that we or the selling stockholder offer and sell securities using this prospectus, we will provide a supplement to this prospectus that contains specific information about the securities and their terms and the manner in which we will offer them for sale. The prospectus supplement also may add or update information contained in this prospectus. This prospectus may not be used to sell securities unless accompanied by the applicable prospectus supplement. You should carefully read this prospectus and any supplement to this prospectus, as well as any documents we have incorporated into this prospectus by reference, before you invest in any of these securities. References herein to “prospectus supplement” are deemed to refer to any pricing supplement or free writing prospectus describing the specific pricing or other terms of the applicable offering that we prepare and distribute.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We or the selling stockholder may offer and sell these securities to or through one or more underwriters, dealers and agents, or directly to purchasers, on a continuous or delayed basis. If an offering of securities involves any underwriters, dealers or agents, we will provide the names of any such underwriters, dealers or agents used in connection with the sale of any of these securities, as well as any fees, commissions or discounts we or the selling stockholder may pay to such underwriters, dealers or agents in connection with the sale of these securities, in the applicable prospectus supplement.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Our common stock is listed on the Nasdaq Global Select Market under the symbol “HBT.” On May 11, 2026, the closing price of our common stock was $27.65. We have not yet determined whether any of the other securities that may be offered pursuant to this prospectus will be listed on any exchange. If we decide to do so, a prospectus supplement relating to such securities will identify the exchange or market on which they will be listed.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Our principal executive office is located at 401 North Hershey Road, Bloomington, Illinois 61704, and our telephone number at that address is (888) 897-2276. </w:t>
      </w:r>
    </w:p>
    <w:p>
      <w:pPr>
        <w:pStyle w:val="TextBody"/>
        <w:bidi w:val="0"/>
        <w:spacing w:lineRule="atLeast" w:line="210" w:before="80" w:after="283"/>
        <w:ind w:left="126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These securities are not bank deposits and are not insured by the Federal Deposit Insurance Corporation or any other governmental agency, nor are they obligations of, or guaranteed by, a bank. This prospectus is not an offer to sell these securities, and it is not soliciting an offer to buy these securities, in any state or jurisdiction where the offer or sale is not permitted. </w:t>
      </w:r>
    </w:p>
    <w:p>
      <w:pPr>
        <w:pStyle w:val="TextBody"/>
        <w:bidi w:val="0"/>
        <w:spacing w:lineRule="atLeast" w:line="210" w:before="80" w:after="283"/>
        <w:ind w:left="1260" w:right="0" w:firstLine="400"/>
        <w:jc w:val="left"/>
        <w:rPr/>
      </w:pPr>
      <w:r>
        <w:rPr>
          <w:rFonts w:ascii="Times New Roman;Times;serif" w:hAnsi="Times New Roman;Times;serif"/>
          <w:b/>
          <w:i w:val="false"/>
          <w:caps w:val="false"/>
          <w:smallCaps w:val="false"/>
          <w:color w:val="000000"/>
          <w:spacing w:val="-4"/>
          <w:sz w:val="18"/>
        </w:rPr>
        <w:t>Investing in our securities involves risks. You should refer to the section entitled “</w:t>
      </w:r>
      <w:r>
        <w:rPr>
          <w:rFonts w:ascii="Times New Roman;Times;serif" w:hAnsi="Times New Roman;Times;serif"/>
          <w:b/>
          <w:i/>
          <w:caps w:val="false"/>
          <w:smallCaps w:val="false"/>
          <w:color w:val="000000"/>
          <w:spacing w:val="-4"/>
          <w:sz w:val="18"/>
        </w:rPr>
        <w:t>Risk Factors</w:t>
      </w:r>
      <w:r>
        <w:rPr>
          <w:rFonts w:ascii="Times New Roman;Times;serif" w:hAnsi="Times New Roman;Times;serif"/>
          <w:b/>
          <w:i w:val="false"/>
          <w:caps w:val="false"/>
          <w:smallCaps w:val="false"/>
          <w:color w:val="000000"/>
          <w:spacing w:val="-4"/>
          <w:sz w:val="18"/>
        </w:rPr>
        <w:t>” on page </w:t>
      </w:r>
      <w:hyperlink w:anchor="tRIFA">
        <w:r>
          <w:rPr>
            <w:rStyle w:val="InternetLink"/>
          </w:rPr>
          <w:t>4</w:t>
        </w:r>
      </w:hyperlink>
      <w:r>
        <w:rPr>
          <w:rFonts w:ascii="Times New Roman;Times;serif" w:hAnsi="Times New Roman;Times;serif"/>
          <w:b/>
          <w:i w:val="false"/>
          <w:caps w:val="false"/>
          <w:smallCaps w:val="false"/>
          <w:color w:val="000000"/>
          <w:spacing w:val="-4"/>
          <w:sz w:val="18"/>
        </w:rPr>
        <w:t xml:space="preserve"> of this prospectus, as well as the risk factors included in the applicable prospectus supplement and certain of our periodic reports and other information that we file with the Securities and Exchange Commission, and carefully consider that information before buying our securities.</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80" w:after="283"/>
        <w:ind w:left="126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120"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This prospectus is dated           , 2026.</w:t>
      </w:r>
      <w:r>
        <w:rPr>
          <w:rFonts w:ascii="Times New Roman;Times;serif" w:hAnsi="Times New Roman;Times;serif"/>
          <w:b w:val="false"/>
          <w:i w:val="false"/>
          <w:caps w:val="false"/>
          <w:smallCaps w:val="false"/>
          <w:color w:val="000000"/>
          <w:sz w:val="18"/>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7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7902" w:type="dxa"/>
        <w:jc w:val="left"/>
        <w:tblInd w:w="1393" w:type="dxa"/>
        <w:tblLayout w:type="fixed"/>
        <w:tblCellMar>
          <w:top w:w="0" w:type="dxa"/>
          <w:left w:w="0" w:type="dxa"/>
          <w:bottom w:w="0" w:type="dxa"/>
          <w:right w:w="0" w:type="dxa"/>
        </w:tblCellMar>
      </w:tblPr>
      <w:tblGrid>
        <w:gridCol w:w="124"/>
        <w:gridCol w:w="6669"/>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SNRF">
              <w:r>
                <w:rPr>
                  <w:rStyle w:val="InternetLink"/>
                  <w:spacing w:val="4"/>
                </w:rPr>
                <w:t>1</w:t>
              </w:r>
            </w:hyperlink>
            <w:hyperlink w:anchor="tS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RIFA">
              <w:r>
                <w:rPr>
                  <w:rStyle w:val="InternetLink"/>
                  <w:spacing w:val="4"/>
                </w:rPr>
                <w:t>4</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HFI">
              <w:r>
                <w:rPr>
                  <w:rStyle w:val="InternetLink"/>
                  <w:spacing w:val="4"/>
                </w:rPr>
                <w:t xml:space="preserve">HBT Financial,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HFI">
              <w:r>
                <w:rPr>
                  <w:rStyle w:val="InternetLink"/>
                  <w:spacing w:val="4"/>
                </w:rPr>
                <w:t>4</w:t>
              </w:r>
            </w:hyperlink>
            <w:hyperlink w:anchor="tHF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DOSW">
              <w:r>
                <w:rPr>
                  <w:rStyle w:val="InternetLink"/>
                  <w:spacing w:val="4"/>
                </w:rPr>
                <w:t xml:space="preserve">Description of Securities We May Offer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W">
              <w:r>
                <w:rPr>
                  <w:rStyle w:val="InternetLink"/>
                  <w:spacing w:val="4"/>
                </w:rPr>
                <w:t>5</w:t>
              </w:r>
            </w:hyperlink>
            <w:hyperlink w:anchor="tDOS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CS">
              <w:r>
                <w:rPr>
                  <w:rStyle w:val="InternetLink"/>
                  <w:spacing w:val="4"/>
                </w:rPr>
                <w:t>5</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
              <w:r>
                <w:rPr>
                  <w:rStyle w:val="InternetLink"/>
                  <w:spacing w:val="4"/>
                </w:rPr>
                <w:t>9</w:t>
              </w:r>
            </w:hyperlink>
            <w:hyperlink w:anchor="tDO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W">
              <w:r>
                <w:rPr>
                  <w:rStyle w:val="InternetLink"/>
                  <w:spacing w:val="4"/>
                </w:rPr>
                <w:t>16</w:t>
              </w:r>
            </w:hyperlink>
            <w:hyperlink w:anchor="tDO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DS1">
              <w:r>
                <w:rPr>
                  <w:rStyle w:val="InternetLink"/>
                  <w:spacing w:val="4"/>
                </w:rPr>
                <w:t>16</w:t>
              </w:r>
            </w:hyperlink>
            <w:hyperlink w:anchor="tDODS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SR">
              <w:r>
                <w:rPr>
                  <w:rStyle w:val="InternetLink"/>
                  <w:spacing w:val="4"/>
                </w:rPr>
                <w:t>19</w:t>
              </w:r>
            </w:hyperlink>
            <w:hyperlink w:anchor="tDOS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DOSP">
              <w:r>
                <w:rPr>
                  <w:rStyle w:val="InternetLink"/>
                  <w:spacing w:val="4"/>
                </w:rPr>
                <w:t xml:space="preserve">Description of Stock Purchase Contracts and Stock Purchase Units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SP">
              <w:r>
                <w:rPr>
                  <w:rStyle w:val="InternetLink"/>
                  <w:spacing w:val="4"/>
                </w:rPr>
                <w:t>20</w:t>
              </w:r>
            </w:hyperlink>
            <w:hyperlink w:anchor="tDO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U">
              <w:r>
                <w:rPr>
                  <w:rStyle w:val="InternetLink"/>
                  <w:spacing w:val="4"/>
                </w:rPr>
                <w:t>20</w:t>
              </w:r>
            </w:hyperlink>
            <w:hyperlink w:anchor="tDO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SEST">
              <w:r>
                <w:rPr>
                  <w:rStyle w:val="InternetLink"/>
                  <w:spacing w:val="4"/>
                </w:rPr>
                <w:t xml:space="preserve">Selling Stockholder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SEST">
              <w:r>
                <w:rPr>
                  <w:rStyle w:val="InternetLink"/>
                  <w:spacing w:val="4"/>
                </w:rPr>
                <w:t>20</w:t>
              </w:r>
            </w:hyperlink>
            <w:hyperlink w:anchor="tSE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POD">
              <w:r>
                <w:rPr>
                  <w:rStyle w:val="InternetLink"/>
                  <w:spacing w:val="4"/>
                </w:rPr>
                <w:t>21</w:t>
              </w:r>
            </w:hyperlink>
            <w:hyperlink w:anchor="tPO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LEMA">
              <w:r>
                <w:rPr>
                  <w:rStyle w:val="InternetLink"/>
                  <w:spacing w:val="4"/>
                </w:rPr>
                <w:t>22</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EXP">
              <w:r>
                <w:rPr>
                  <w:rStyle w:val="InternetLink"/>
                  <w:spacing w:val="4"/>
                </w:rPr>
                <w:t>22</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669"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22</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669" w:type="dxa"/>
            <w:tcBorders/>
            <w:shd w:fill="CCEEFF" w:val="cle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OCI">
              <w:r>
                <w:rPr>
                  <w:rStyle w:val="InternetLink"/>
                  <w:spacing w:val="4"/>
                </w:rPr>
                <w:t>23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w:t>
      </w:r>
      <w:bookmarkStart w:id="4" w:name="tSNR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using a shelf registration process. Under the shelf registration rules, we may sell from time to time, in one or more offerings, on a continuous or delayed basis, any combination of the securities described in this prospectus for an aggregate offering price of up to $150,000,000. In addition, under this shelf registration process, the selling stockholder named in this prospectus may sell from time to time up to 4,000,000 shares of our common stock. The registration statement that contains this prospectus (including the exhibits to the registration statement) contains additional information about us and the securities we are offering under this prospectus. You can read that registration statement at the SEC website at http://www.sec.gov or at the SEC office mentioned under the heading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or the selling stockholder may offer. Each time we or the selling stockholder sell any of these securities, we will provide one or more prospectus supplements that will contain specific information about the terms of that offering. Such prospectus supplement may also add, update or change information contained or incorporated by reference in this prospectus. If there is any inconsistency between the information in this prospectus and the applicable prospectus supplement, you should rely on the information in the prospectus supplement. You should read this prospectus (including the documents incorporated by reference) and the applicable prospectus supplement together with the additional information referred to under the heading “Where You Can Find More Information” before you invest.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 this prospectus and in any supplement to this prospectus. Neither we nor the selling stockholder have authorized anyone to provide you with different or additional information. Neither we nor the selling stockholder are making an offer to sell or soliciting an offer to buy these securities in any jurisdiction in which the offer or solicitation is not authorized or in which the person making the offer or solicitation is not qualified to do so or to anyone to whom it is unlawful to make the offer or solicitation. You should assume that the information contained or incorporated by reference in this prospectus or any prospectus supplement is accurate as of its date only.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securities described in this prospectus and in a prospectus supplement may be convertible or exchangeable into, or exercisable for, other securities that are described in this prospectus or will be described in a prospectus supplement, and may be issued separately, together or as part of a unit consisting of two or more securities, which may or may not be separate from one another. The securities offered hereby may include new or hybrid securities developed in the future that combine features of any of the securities described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that contains this prospectus, including the exhibits to the registration statement, also contains additional information about us and the securities offered under this prospectus. You can find the registration statement at the SEC’s website or at the SEC office mentioned under the heading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related prospectus supplement and the documents we incorporate by reference in this prospectus and any related prospectus supplement may contain statements that constitute “forward-looking statements” within the meanings of the Private Securities Litigation Reform Act of 1995, Section 27A of the Securities Act of 1933, as amended (“Securities Act”), and Section 21E of the Securities Exchange Act of 1934, as amended (“Exchange Act”). Forward-looking statements generally can be identified by the use of forward-looking terminology such as “will,” “propose,” “may,” “plan,” “seek,” “expect,” “intend,” “estimate,” “anticipate,” “believe,” “continue,” or “should,” or similar terminology and the negative forms of such words. Forward-looking statements are frequently based on assumptions that may or may not materialize and are subject to numerous uncertainties that could cause actual results to differ materially from those anticipated in the forward-looking statements. Factors that could cause actual results to differ materially from the results anticipated or projected and which could materially and adversely affect our operating results, financial condition or prospects include, but are not limited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strength of the local, state, national, and international economies and financial markets (including effects of inflationary pressures, global energy market conditions, the threat or implementation of tariffs, immigration enforcement and changes in foreign policy); </w:t>
      </w:r>
      <w:r>
        <mc:AlternateContent>
          <mc:Choice Requires="wps">
            <w:drawing>
              <wp:anchor behindDoc="0" distT="0" distB="0" distL="254000" distR="0" simplePos="0" locked="0" layoutInCell="1" allowOverlap="1" relativeHeight="9">
                <wp:simplePos x="0" y="0"/>
                <wp:positionH relativeFrom="column">
                  <wp:align>left</wp:align>
                </wp:positionH>
                <wp:positionV relativeFrom="line">
                  <wp:posOffset>635</wp:posOffset>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policy changes in, and the interpretation and prioritization of, local, state and federal laws, regulations and governmental policies, including executive orders; </w:t>
      </w:r>
      <w:r>
        <mc:AlternateContent>
          <mc:Choice Requires="wps">
            <w:drawing>
              <wp:anchor behindDoc="0" distT="6477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economic impact of any future terrorist threats and attacks, widespread disease or pandemics, acts of war or other threats thereof (including the Russian invasion of Ukraine and the conflicts in the Middle East), or other adverse events that could cause economic deterioration or instability in credit markets, and the response of the local, state and national governments to any such adverse external events; </w:t>
      </w:r>
      <w:r>
        <mc:AlternateContent>
          <mc:Choice Requires="wps">
            <w:drawing>
              <wp:anchor behindDoc="0" distT="6477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and revised accounting policies and practices, as may be adopted by state and federal regulatory banking agencies, the Financial Accounting Standards Board or the Public Company Accounting Oversight Board; </w:t>
      </w:r>
      <w:r>
        <mc:AlternateContent>
          <mc:Choice Requires="wps">
            <w:drawing>
              <wp:anchor behindDoc="0" distT="6477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imposition of tariffs or other governmental policies impacting the value of products produced by the Company’s commercial borrowers; </w:t>
      </w:r>
      <w:r>
        <mc:AlternateContent>
          <mc:Choice Requires="wps">
            <w:drawing>
              <wp:anchor behindDoc="0" distT="6477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interest rates and prepayment rates of the Company’s assets; </w:t>
      </w:r>
      <w:r>
        <mc:AlternateContent>
          <mc:Choice Requires="wps">
            <w:drawing>
              <wp:anchor behindDoc="0" distT="6477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competition in the financial services sector, including from non-bank competitors such as credit unions, private credit firms, fintech companies and digital asset providers, and the inability to attract new customers; </w:t>
      </w:r>
      <w:r>
        <mc:AlternateContent>
          <mc:Choice Requires="wps">
            <w:drawing>
              <wp:anchor behindDoc="0" distT="647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technological changes implemented by us and other parties, including our third-party vendors, which may have unforeseen consequences to us and our customers, including the development and implementation of tools incorporating artificial intelligence; </w:t>
      </w:r>
      <w:r>
        <mc:AlternateContent>
          <mc:Choice Requires="wps">
            <w:drawing>
              <wp:anchor behindDoc="0" distT="647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results of acquisitions, which may include failure to realize the anticipated benefits of acquisitions and the possibility that transaction costs may be greater than anticipated; </w:t>
      </w:r>
      <w:r>
        <mc:AlternateContent>
          <mc:Choice Requires="wps">
            <w:drawing>
              <wp:anchor behindDoc="0" distT="647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of key executives and employees, talent shortages and employee turnover; </w:t>
      </w:r>
      <w:r>
        <mc:AlternateContent>
          <mc:Choice Requires="wps">
            <w:drawing>
              <wp:anchor behindDoc="0" distT="647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spending; </w:t>
      </w:r>
      <w:r>
        <mc:AlternateContent>
          <mc:Choice Requires="wps">
            <w:drawing>
              <wp:anchor behindDoc="0" distT="635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outcomes or costs of existing or new litigation or other legal proceedings and regulatory actions involving the Company, including the acquisition of CNB Bank Shares, Inc.; </w:t>
      </w:r>
      <w:r>
        <mc:AlternateContent>
          <mc:Choice Requires="wps">
            <w:drawing>
              <wp:anchor behindDoc="0" distT="635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economic impact on the Company and its customers of climate change, natural disasters and of exceptional weather occurrences such as tornadoes, floods and blizzards; </w:t>
      </w:r>
      <w:r>
        <mc:AlternateContent>
          <mc:Choice Requires="wps">
            <w:drawing>
              <wp:anchor behindDoc="0" distT="635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value of securities held in our securities portfolio, including as a result of changes in interest rates; </w:t>
      </w:r>
      <w:r>
        <mc:AlternateContent>
          <mc:Choice Requires="wps">
            <w:drawing>
              <wp:anchor behindDoc="0" distT="635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risks and risks from concentrations (by type of borrower, geographic area, collateral and industry) within our loan portfolio (including commercial real estate loans) and large loans to certain borrowers; </w:t>
      </w:r>
      <w:r>
        <mc:AlternateContent>
          <mc:Choice Requires="wps">
            <w:drawing>
              <wp:anchor behindDoc="0" distT="635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overall health of the local and national real estate market; </w:t>
      </w:r>
      <w:r>
        <mc:AlternateContent>
          <mc:Choice Requires="wps">
            <w:drawing>
              <wp:anchor behindDoc="0" distT="635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maintain an adequate level of allowance for credit losses on loans; </w:t>
      </w:r>
      <w:r>
        <mc:AlternateContent>
          <mc:Choice Requires="wps">
            <w:drawing>
              <wp:anchor behindDoc="0" distT="635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concentration of large deposits from certain clients who have balances above current FDIC insurance limits and who may withdraw deposits to diversify their exposure; </w:t>
      </w:r>
      <w:r>
        <mc:AlternateContent>
          <mc:Choice Requires="wps">
            <w:drawing>
              <wp:anchor behindDoc="0" distT="635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successfully manage liquidity risk, which may increase dependence on non-core funding sources such as brokered deposits, and may negatively impact the Company’s cost of funds; </w:t>
      </w:r>
      <w:r>
        <mc:AlternateContent>
          <mc:Choice Requires="wps">
            <w:drawing>
              <wp:anchor behindDoc="0" distT="635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nonperforming assets on our balance sheets; </w:t>
      </w:r>
      <w:r>
        <mc:AlternateContent>
          <mc:Choice Requires="wps">
            <w:drawing>
              <wp:anchor behindDoc="0" distT="635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interruptions involving our information technology and communications systems or those of our third-party servicers; </w:t>
      </w:r>
      <w:r>
        <mc:AlternateContent>
          <mc:Choice Requires="wps">
            <w:drawing>
              <wp:anchor behindDoc="0" distT="635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fraudulent activity, breaches or failures of our third-party vendors’ information security controls or cybersecurity-related incidents, including as a result of sophisticated attacks using artificial intelligence and similar tools or as a result of insider fraud; </w:t>
      </w:r>
      <w:r>
        <mc:AlternateContent>
          <mc:Choice Requires="wps">
            <w:drawing>
              <wp:anchor behindDoc="0" distT="635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81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the Company’s risk management framework and internal disclosure controls and procedures; </w:t>
      </w:r>
      <w:r>
        <mc:AlternateContent>
          <mc:Choice Requires="wps">
            <w:drawing>
              <wp:anchor behindDoc="0" distT="0" distB="0" distL="254000" distR="0" simplePos="0" locked="0" layoutInCell="1" allowOverlap="1" relativeHeight="31">
                <wp:simplePos x="0" y="0"/>
                <wp:positionH relativeFrom="column">
                  <wp:align>left</wp:align>
                </wp:positionH>
                <wp:positionV relativeFrom="line">
                  <wp:posOffset>635</wp:posOffset>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Company to manage the risks associated with the foregoing as well as anticipated; and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factors and risks identified in the “Risk Factors” section included under Item 1A. of Part I of our most recent Annual Report on Form 10-K and in the “Risk Factors” sections of this prospectus and the applicable prospectus supplement.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You should not rely upon forward-looking statements as predictions of future events.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 believe that the expectations reflected in the forward-looking statements are reasonable, we cannot guarantee future results, levels of activity, performance or achievements. Forward-looking statements speak only as of the date they are made, and the Company undertakes no obligation to update any forward-looking statements to reflect new information or events or conditions after the date on which the forward-looking statement was made.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w:t>
      </w:r>
      <w:bookmarkStart w:id="6" w:name="tHFI"/>
      <w:bookmarkEnd w:id="6"/>
      <w:r>
        <w:rPr>
          <w:rFonts w:ascii="calibri;arial;sans-serif" w:hAnsi="calibri;arial;sans-serif"/>
          <w:b w:val="false"/>
          <w:i w:val="false"/>
          <w:caps w:val="false"/>
          <w:smallCaps w:val="false"/>
          <w:color w:val="000000"/>
          <w:sz w:val="16"/>
        </w:rPr>
        <w:t>​</w:t>
      </w:r>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a high degree of risk. Before making an investment decision, you should carefully read and consider the risk factors incorporated by reference in this prospectus, which include those described in our </w:t>
      </w:r>
      <w:hyperlink r:id="rId3">
        <w:r>
          <w:rPr>
            <w:rStyle w:val="InternetLink"/>
          </w:rPr>
          <w:t xml:space="preserve">Annual Report on Form 10-K for the year ended December 31, </w:t>
        </w:r>
      </w:hyperlink>
      <w:hyperlink r:id="rId4">
        <w:r>
          <w:rPr>
            <w:rStyle w:val="InternetLink"/>
          </w:rPr>
          <w:t>2025</w:t>
        </w:r>
      </w:hyperlink>
      <w:r>
        <w:rPr>
          <w:rFonts w:ascii="Times New Roman;Times;serif" w:hAnsi="Times New Roman;Times;serif"/>
          <w:b w:val="false"/>
          <w:i w:val="false"/>
          <w:caps w:val="false"/>
          <w:smallCaps w:val="false"/>
          <w:color w:val="000000"/>
          <w:spacing w:val="4"/>
          <w:sz w:val="20"/>
        </w:rPr>
        <w:t xml:space="preserve">, as well as those contained in any applicable prospectus supplement, as the same may be updated from time to time by our future filings with the SEC. You should also refer to other information contained or incorporated by reference in this prospectus and any applicable prospectus supplement, including our financial statements and the related notes incorporated by reference herein. Our business, financial condition, results of operations or growth prospects could be materially adversely affected by any of these risks. The trading price of our securities could decline due to any of these risks, and you may lose all or part of your investment. This prospectus and documents incorporated by reference in this prospectus also contain forward-looking statements that involve risks and uncertainties. Our actual results could differ materially from those anticipated in these forward-looking statements as a result of certain factors, including the risks faced by us. Additional risks and uncertainties not known to us or that we deem immaterial may also materially and adversely affect our business and operations.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HBT Financial,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HBT Financial, Inc. is a Delaware corporation headquartered in Bloomington, Illinois, and is the financial holding company for Heartland Bank and Trust Company (the “Bank”). The Company has banking roots that can be traced back to 1920. The Bank provides a comprehensive suite of business, commercial, wealth management, and retail banking products and services to individuals, businesses, and municipal entities throughout Illinois and Eastern Iowa through 83 locations. As of March 31, 2026, the Company had total assets of $6.8 billion, total loans of $4.7 billion, and total deposits of $5.8 billion.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 is located at 401 North Hershey Road, Bloomington, Illinois 61704, and our telephone number at that address is (888) 897-2276.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about us is included in our filings with the SEC, which are incorporated by reference into this prospectus. See “Where You Can Find More Information” and “Incorporation of Certain Information by Reference” in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states otherwise, we will use the net proceeds we receive from the sale of the securities offered hereby for general corporate purposes, which may include, among other things, investments in or advances to our subsidiaries, working capital, capital expenditures, stock repurchases, debt repayment or the financing of possible acquisitions. The applicable prospectus supplement relating to a particular offering of securities by us will identify the particular use of proceeds for that offering. Until we use the net proceeds from an offering, we may place the net proceeds in temporary investments or hold the net proceeds in deposit accounts at the Bank or another depository institution.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the sale of shares of our common stock by the selling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SW"/>
      <w:bookmarkEnd w:id="8"/>
      <w:r>
        <w:rPr>
          <w:rFonts w:ascii="calibri;arial;sans-serif" w:hAnsi="calibri;arial;sans-serif"/>
          <w:b w:val="false"/>
          <w:i w:val="false"/>
          <w:caps w:val="false"/>
          <w:smallCaps w:val="false"/>
          <w:color w:val="000000"/>
          <w:sz w:val="16"/>
        </w:rPr>
        <w:t>​</w:t>
      </w:r>
      <w:bookmarkStart w:id="9" w:name="tDOC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 We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summary descriptions of the common stock, preferred stock, debt securities, warrants, depositary shares, subscription rights, stock purchase contracts, stock purchase units and units that we may offer and sell from time to time. In addition, the selling stockholder may sell up to 4,000,000 shares of our common stock from time to time in one or more offerings. When one or more of these securities are offered in the future, a prospectus supplement will explain the particular terms of the securities and the extent to which these general provisions may apply. These summary descriptions and any summary descriptions in the applicable prospectus supplement do not purport to be complete descriptions of the terms and conditions of each security and are qualified in their entirety by reference to our Restated Certificate of Incorporation (our “Certificate of Incorporation”), our Amended and Restated Bylaws (our “Bylaws”), the General Corporation Law of the State of Delaware (the “DGCL”), and any other documents referenced in such summary descriptions and from which such summary descriptions are derived. If any particular terms of a security described in the applicable prospectus supplement differ from any of the terms described in this prospectus, then the terms described in this prospectus will be deemed superseded by the terms set forth in that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and sell, and the selling stockholder may sell, securities in book-entry form through one or more depositaries, such as The Depository Trust Company, Euroclear or Clearstream, named in the applicable prospectus supplement. Each sale of a security in book-entry form will settle in immediately available funds through the applicable depositary, unless otherwise stated. We will issue or sell, and the selling stockholder will sell, the securities in registered form, without coupons, although we may issue the securities in bearer form if so specified in the applicable prospectus supplement. If any securities are to be listed or quoted on a securities exchange or quotation system, the applicable prospectus supplement will say so.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terms, limitations, voting powers and relative rights of our capital stock as contained in our Certificate of Incorporation, which is incorporated by reference herein. This summary does not purport to be a complete description of the terms and conditions of our capital stock in all respects and is subject to and qualified in its entirety by reference to our Certificate of Incorporation, our Bylaws, the DGCL and any other documents referenced in the summary descriptions and from which the summary descriptions are derived. Although we believe this summary covers the material terms and provisions of our capital stock set forth in our Certificate of Incorporation, it may not contain all of the information that is important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Shares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authorizes the issuance of up to 125,000,000 shares of common stock, par value $0.01 per share, and up to 25,000,000 shares of undesignated preferred stock, par value $0.01 per share. As of March 31, 2026, we had 36,381,078 shares of common stock issued and outstanding. As of March 31, 2026, we had no shares of preferred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Governing Documents.</w:t>
      </w:r>
      <w:r>
        <w:rPr>
          <w:rFonts w:ascii="Times New Roman;Times;serif" w:hAnsi="Times New Roman;Times;serif"/>
          <w:b w:val="false"/>
          <w:i w:val="false"/>
          <w:caps w:val="false"/>
          <w:smallCaps w:val="false"/>
          <w:color w:val="000000"/>
          <w:spacing w:val="4"/>
          <w:sz w:val="20"/>
        </w:rPr>
        <w:t xml:space="preserve">   Holders of shares of our common stock have the rights set forth in our Certificate of Incorporation, our Bylaws and Delaware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Dividends and Distributions.</w:t>
      </w:r>
      <w:r>
        <w:rPr>
          <w:rFonts w:ascii="Times New Roman;Times;serif" w:hAnsi="Times New Roman;Times;serif"/>
          <w:b w:val="false"/>
          <w:i w:val="false"/>
          <w:caps w:val="false"/>
          <w:smallCaps w:val="false"/>
          <w:color w:val="000000"/>
          <w:spacing w:val="4"/>
          <w:sz w:val="20"/>
        </w:rPr>
        <w:t xml:space="preserve">   Subject to the rights of any series of preferred stock authorized by the board of directors as provided by the Certificate of Incorporation, the holders of our common stock are entitled to dividends as and when declared by our board of directors out of funds legally available for the payment of 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In the event of any liquidation, dissolution or winding up of the affairs of the Company, whether voluntary or involuntary, after payment or provision for payment of the Company’s debts and any other payments required by law and amounts payable upon shares of any preferred stock ranking senior to the shares of common stock upon such dissolution, liquidation or winding up, if any, the remaining net assets of the Company will be distributed to the holders of shares of common stock and the holders of shares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class or series ranking equally with the shares of common stock upon such dissolution, liquidation or winding up, equally on a per share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 Conversion Rights.</w:t>
      </w:r>
      <w:r>
        <w:rPr>
          <w:rFonts w:ascii="Times New Roman;Times;serif" w:hAnsi="Times New Roman;Times;serif"/>
          <w:b w:val="false"/>
          <w:i w:val="false"/>
          <w:caps w:val="false"/>
          <w:smallCaps w:val="false"/>
          <w:color w:val="000000"/>
          <w:spacing w:val="4"/>
          <w:sz w:val="20"/>
        </w:rPr>
        <w:t xml:space="preserve">   Our common stock is not convertible into any other shares of our capital stock.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 Preemptive Rights.</w:t>
      </w:r>
      <w:r>
        <w:rPr>
          <w:rFonts w:ascii="Times New Roman;Times;serif" w:hAnsi="Times New Roman;Times;serif"/>
          <w:b w:val="false"/>
          <w:i w:val="false"/>
          <w:caps w:val="false"/>
          <w:smallCaps w:val="false"/>
          <w:color w:val="000000"/>
          <w:spacing w:val="4"/>
          <w:sz w:val="20"/>
        </w:rPr>
        <w:t xml:space="preserve">   Holders of our common stock do not have any preemptive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holder of our common stock has one vote for each share held on matters presented for consideration by the stockholders. Except as otherwise required by law and subject to the rights of holders of any series of preferred stock, the holders of our common stock possess all voting power. The Certificate of Incorporation does not provide for cumulative voting in the election of directors.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Redemption.</w:t>
      </w:r>
      <w:r>
        <w:rPr>
          <w:rFonts w:ascii="Times New Roman;Times;serif" w:hAnsi="Times New Roman;Times;serif"/>
          <w:b/>
          <w:i/>
          <w:caps w:val="false"/>
          <w:smallCaps w:val="false"/>
          <w:color w:val="000000"/>
          <w:spacing w:val="4"/>
          <w:sz w:val="20"/>
        </w:rPr>
        <w:t>   </w:t>
      </w:r>
      <w:r>
        <w:rPr>
          <w:rFonts w:ascii="Times New Roman;Times;serif" w:hAnsi="Times New Roman;Times;serif"/>
          <w:b w:val="false"/>
          <w:i w:val="false"/>
          <w:caps w:val="false"/>
          <w:smallCaps w:val="false"/>
          <w:color w:val="000000"/>
          <w:spacing w:val="4"/>
          <w:sz w:val="20"/>
        </w:rPr>
        <w:t xml:space="preserve">There are no redemption or sinking fund provisions applicable to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Stock Exchange Listing.</w:t>
      </w:r>
      <w:r>
        <w:rPr>
          <w:rFonts w:ascii="Times New Roman;Times;serif" w:hAnsi="Times New Roman;Times;serif"/>
          <w:b w:val="false"/>
          <w:i w:val="false"/>
          <w:caps w:val="false"/>
          <w:smallCaps w:val="false"/>
          <w:color w:val="000000"/>
          <w:spacing w:val="4"/>
          <w:sz w:val="20"/>
        </w:rPr>
        <w:t xml:space="preserve">   Our common stock is listed on the Nasdaq Global Select Market under the symbol “HBT.”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Issuance of Stock.</w:t>
      </w:r>
      <w:r>
        <w:rPr>
          <w:rFonts w:ascii="Times New Roman;Times;serif" w:hAnsi="Times New Roman;Times;serif"/>
          <w:b w:val="false"/>
          <w:i w:val="false"/>
          <w:caps w:val="false"/>
          <w:smallCaps w:val="false"/>
          <w:color w:val="000000"/>
          <w:spacing w:val="4"/>
          <w:sz w:val="20"/>
        </w:rPr>
        <w:t xml:space="preserve">   The Certificate of Incorporation authorizes our board of directors to authorize the issuance of shares of our common stock and any other securities without stockholder approval. However, our common stock is listed on the Nasdaq Global Select Market, which requires stockholder approval of the issuance of additional shares of our common stock under certain circumstances. The DGCL also requires stockholder approval of the issuance of additional shares of our common stock under certain circumstances.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limitations under applicable Delaware law, our board of directors is authorized to issue, from time to time and without stockholder approval, up to an aggregate of 25,000,000 shares of preferred stock in one or more series and to fix the designations, powers, preferences, and relative, participating, optional or other special rights, if any, and any qualifications, limitations or restrictions of the shares of each such series, including the dividend rights, conversion rights, voting rights, redemption rights (including sinking fund provisions), liquidation preferences and the number of shares constituting any series. As of March 31, 2026, we had no shares of preferred stock outstanding. The issuance of preferred stock with voting and conversion rights could adversely affect the voting power of the holders of shares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the particular terms of any series of preferred stock being offered in the applicable prospectus supplement relating to that series of preferred stock. Those terms may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being offered;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liquidation preference per share;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or method for determining that rate;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dividends will be paid;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or noncumulative and, if cumulative, the dates from which dividends will begin to accumulate;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redemption or sinking fund provisions;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applicable conversion provisions;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have elected to offer depositary shares with respect to that series of preferred stock; and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additional dividend, liquidation and other rights and restrictions applicable to that series of preferred stock.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preferred stock will, when issued against full payment of their purchase price, be fully paid and nonassessable.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Dividends and Distributions.</w:t>
      </w:r>
      <w:r>
        <w:rPr>
          <w:rFonts w:ascii="Times New Roman;Times;serif" w:hAnsi="Times New Roman;Times;serif"/>
          <w:b w:val="false"/>
          <w:i w:val="false"/>
          <w:caps w:val="false"/>
          <w:smallCaps w:val="false"/>
          <w:color w:val="000000"/>
          <w:spacing w:val="4"/>
          <w:sz w:val="20"/>
        </w:rPr>
        <w:t xml:space="preserve">   If you purchase preferred stock being offered by use of this prospectus and an applicable prospectus supplement, you will be entitled to receive, when, as and if declared by our board of directors, dividends at the rates and on the dates set forth in the prospectus supplement. Dividend rates may be fixed, variable or both. The nature, amount, rates, timing and other details of dividend rights for a series of preferred stock will be described in the applicable prospectus supplement and will be payable in preference to, or in such relation to, the dividends payable on any other class or classes or series of our stock, as described in the applicable prospectus supplement. We are subject to various regulatory policies and requirements relating to the payment of dividends, including requirements to maintain adequate capital above regulatory minimums.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Ranking.</w:t>
      </w:r>
      <w:r>
        <w:rPr>
          <w:rFonts w:ascii="Times New Roman;Times;serif" w:hAnsi="Times New Roman;Times;serif"/>
          <w:b w:val="false"/>
          <w:i w:val="false"/>
          <w:caps w:val="false"/>
          <w:smallCaps w:val="false"/>
          <w:color w:val="000000"/>
          <w:spacing w:val="4"/>
          <w:sz w:val="20"/>
        </w:rPr>
        <w:t xml:space="preserve">   In the event that we liquidate, dissolve or wind-up our affairs, either voluntarily or involuntarily, holders of our preferred stock will be entitled to receive liquidating distributions in the amount set forth in the applicable prospectus supplement, plus accrued and unpaid dividends, if any, before we make any distribution of assets to the holders of our common stock or any junior preferred stock. If we fail to pay in full all amounts payable with respect to preferred stock being offered by us and any stock having the same rank as that series of preferred stock, the holders of the preferred stock and of that other stock will share in any distribution of assets in proportion to the full respective preferential amounts to which they are entitled. After the holders of each series of preferred stock and any stock having the same rank as the preferred stock are paid in full, they will have no right or claim to any of our remaining assets. For any series of preferred stock being offered by this prospectus and an applicable prospectus supplement, neither the sale of all or substantially all of our property or business nor a merger or consolidation by us with any other corporation will be considered a dissolution, liquidation or winding-up of our business or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Conversion Rights.</w:t>
      </w:r>
      <w:r>
        <w:rPr>
          <w:rFonts w:ascii="Times New Roman;Times;serif" w:hAnsi="Times New Roman;Times;serif"/>
          <w:b w:val="false"/>
          <w:i w:val="false"/>
          <w:caps w:val="false"/>
          <w:smallCaps w:val="false"/>
          <w:color w:val="000000"/>
          <w:spacing w:val="4"/>
          <w:sz w:val="20"/>
        </w:rPr>
        <w:t xml:space="preserve">   The applicable prospectus supplement will state the terms, if any, on which shares of a series of preferred stock being offered are convertible into shares of our common stock or another series of our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Voting Rights.   </w:t>
      </w:r>
      <w:r>
        <w:rPr>
          <w:rFonts w:ascii="Times New Roman;Times;serif" w:hAnsi="Times New Roman;Times;serif"/>
          <w:b w:val="false"/>
          <w:i w:val="false"/>
          <w:caps w:val="false"/>
          <w:smallCaps w:val="false"/>
          <w:color w:val="000000"/>
          <w:spacing w:val="4"/>
          <w:sz w:val="20"/>
        </w:rPr>
        <w:t xml:space="preserve">The voting rights of preferred stock of any series being offered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Redemption.   </w:t>
      </w:r>
      <w:r>
        <w:rPr>
          <w:rFonts w:ascii="Times New Roman;Times;serif" w:hAnsi="Times New Roman;Times;serif"/>
          <w:b w:val="false"/>
          <w:i w:val="false"/>
          <w:caps w:val="false"/>
          <w:smallCaps w:val="false"/>
          <w:color w:val="000000"/>
          <w:spacing w:val="4"/>
          <w:sz w:val="20"/>
        </w:rPr>
        <w:t xml:space="preserve">The terms, if any, on which shares of a series of preferred stock being offered may be redeemed will be described in the applicable prospectus supplement. The preferred stock of a series may be redeemed in such amount or amounts, and at such time or times, if any, as may be provided in respect of that particular series of preferred stock. Preferred stock may be redeemed by the Company only to the extent legally permissible.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Certain provisions of our Certificate of Incorporation, our Bylaws and the DGCL may have the effect of impeding the acquisition of control of the Company by means of a tender offer, a proxy fight, open-market purchases or otherwise in a transaction not approved by our board of directors. These provisions may have the effect of discouraging a future takeover attempt which is not approved by our board of directors but which individual stockholders may deem to be in their best interests or in which our stockholders may receive a substantial premium for their shares over then-current market prices. As a result, stockholders who might desire to participate in such a transaction may not have an opportunity to do so. Such provisions will also render the removal of our current board of directors or management more difficult.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Bylaws.</w:t>
      </w:r>
      <w:r>
        <w:rPr>
          <w:rFonts w:ascii="Times New Roman;Times;serif" w:hAnsi="Times New Roman;Times;serif"/>
          <w:b w:val="false"/>
          <w:i w:val="false"/>
          <w:caps w:val="false"/>
          <w:smallCaps w:val="false"/>
          <w:color w:val="000000"/>
          <w:spacing w:val="4"/>
          <w:sz w:val="20"/>
        </w:rPr>
        <w:t xml:space="preserve">   The relevant provisions of our Certificate of Incorporation and Bylaws include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Special Meetings of Stockholders.</w:t>
      </w:r>
      <w:r>
        <w:rPr>
          <w:rFonts w:ascii="Times New Roman;Times;serif" w:hAnsi="Times New Roman;Times;serif"/>
          <w:b w:val="false"/>
          <w:i w:val="false"/>
          <w:caps w:val="false"/>
          <w:smallCaps w:val="false"/>
          <w:color w:val="000000"/>
          <w:spacing w:val="4"/>
          <w:sz w:val="20"/>
        </w:rPr>
        <w:t xml:space="preserve">   Subject to the rights of the holders of any series of preferred stock issued in the future and to the requirements of applicable law, special meetings of our stockholders may be called only by or at the direction of (a) the Chairperson of the Board, or (b) a written resolution adopted by the affirmative vote of the majority of the total number of directors that the Company would have if there were no vacancies.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Stockholder Nominations and Proposals.</w:t>
      </w:r>
      <w:r>
        <w:rPr>
          <w:rFonts w:ascii="Times New Roman;Times;serif" w:hAnsi="Times New Roman;Times;serif"/>
          <w:b w:val="false"/>
          <w:i w:val="false"/>
          <w:caps w:val="false"/>
          <w:smallCaps w:val="false"/>
          <w:color w:val="000000"/>
          <w:spacing w:val="4"/>
          <w:sz w:val="20"/>
        </w:rPr>
        <w:t xml:space="preserve">   Our Bylaws establish advance notice procedures with respect to stockholder proposals and nominations of candidates for election as directors. These procedures provide that notice of such stockholder proposal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The notice must contain certain information required to be provided by our Bylaws. </w:t>
      </w:r>
      <w:r>
        <mc:AlternateContent>
          <mc:Choice Requires="wps">
            <w:drawing>
              <wp:anchor behindDoc="0" distT="0" distB="0" distL="254000" distR="0" simplePos="0" locked="0" layoutInCell="1" allowOverlap="1" relativeHeight="45">
                <wp:simplePos x="0" y="0"/>
                <wp:positionH relativeFrom="column">
                  <wp:align>left</wp:align>
                </wp:positionH>
                <wp:positionV relativeFrom="line">
                  <wp:posOffset>635</wp:posOffset>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Issuance of Blank Check Preferred Stock.</w:t>
      </w:r>
      <w:r>
        <w:rPr>
          <w:rFonts w:ascii="Times New Roman;Times;serif" w:hAnsi="Times New Roman;Times;serif"/>
          <w:b w:val="false"/>
          <w:i w:val="false"/>
          <w:caps w:val="false"/>
          <w:smallCaps w:val="false"/>
          <w:color w:val="000000"/>
          <w:spacing w:val="4"/>
          <w:sz w:val="20"/>
        </w:rPr>
        <w:t xml:space="preserve">   Our board of directors may issue additional authorized shares of our capital stock to deter future attempts to gain control of the Company, and has the authority to determine the terms of any one or more series of preferred stock, such as voting rights, conversion rates and liquidation preferences. As a result of the ability to fix voting rights for a series of preferred stock, our board has the power, to the extent consistent with its fiduciary duties, to issue a series of preferred stock to persons friendly to management in order to attempt to block a merger or other transaction by which a third party seeks control, and thereby assist the incumbent board of directors and management to retain their respective positions.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Delaware Law.</w:t>
      </w:r>
      <w:r>
        <w:rPr>
          <w:rFonts w:ascii="Times New Roman;Times;serif" w:hAnsi="Times New Roman;Times;serif"/>
          <w:b w:val="false"/>
          <w:i w:val="false"/>
          <w:caps w:val="false"/>
          <w:smallCaps w:val="false"/>
          <w:color w:val="000000"/>
          <w:spacing w:val="4"/>
          <w:sz w:val="20"/>
        </w:rPr>
        <w:t xml:space="preserve">   We have elected to opt out of the applicability of Section 203 of the DGCL in our Certificate of Incorporation, so we are not currently governed by this section of Delaware law. Under Section 203 of the DGCL, subject to exceptions, we would otherwise be prohibited from engaging in any business combination with any interested stockholder for a period of three years following the time that the stockholder became an interested stockholder. For this purpose, an “interested stockholder” generally includes current and certain former holders of 15% or more of our outstanding stock. If they were applicable, the provisions of Section 203 could encourage companies interested in acquiring us to negotiate in advance with our board of directors. However, because Section 203 is not applicable, these provisions are not expected to make it more difficult to accomplish transactions which stockholders may otherwise deem to be in their best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Federal Banking Law.</w:t>
      </w:r>
      <w:r>
        <w:rPr>
          <w:rFonts w:ascii="Times New Roman;Times;serif" w:hAnsi="Times New Roman;Times;serif"/>
          <w:b w:val="false"/>
          <w:i w:val="false"/>
          <w:caps w:val="false"/>
          <w:smallCaps w:val="false"/>
          <w:color w:val="000000"/>
          <w:spacing w:val="4"/>
          <w:sz w:val="20"/>
        </w:rPr>
        <w:t xml:space="preserve">   The ability of a third party to acquire our stock is also limited under applicable U.S. banking laws, including regulatory approval requirements. The Bank Holding Company Act of 1956, as amended, or BHCA, requires any “bank holding company” to obtain the approval of the Federal Reserve before acquiring, directly or indirectly, more than 5% of our outstanding common stock. 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Sole and Exclusive Forum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unless we consent in writing to an alternative forum, the Court of Chancery of the State of Delaware (or if the Court of Chancery does not have jurisdiction, the United States District Court for the District of Delaware) shall, to the fullest extent permitted by law, be the sole and exclusive forum for (i) any derivative action or proceeding brought on behalf of the Company, (ii) any action asserting a claim of breach of a fiduciary duty owed by any director, officer, employee or stockholder of the Company to the Company or the Company’s stockholders, (iii) any action asserting a claim arising pursuant to any provision of the DGCL or as to which the DGCL confers jurisdiction on the Court of Chancery of the State of Delaware, the Certificate of Incorporation or the Bylaws or (iv) any action asserting a claim governed by the internal affairs doctrine. However,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there is uncertainty as to whether a court would enforce such a provision, and our stockholder will not be deemed to have waived our compliance with the federal securities laws and the rules and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D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purchasing or otherwise acquiring any interest in any shares of our capital stock shall be deemed to have notice of and to have consented to this provision of our Bylaws. The exclusive forum provision may limit a stockholder’s ability to bring a claim in a judicial forum that it finds favorable for disputes with us or our directors, officers or other employees, which may discourage such lawsuits. The enforceability of similar exclusive forum provisions in other companies’ charter documents has been challenged in legal proceedings, and it is possible that, in connection with one or more actions or proceedings described above, a court could find the provision of our Bylaws to be inapplicable or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Liability and Indemnification of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our directors will not be personally liable to us or our stockholders for monetary damages for any breach of fiduciary duty as a director, subject to limited exceptions. Our Certificate of Incorporation and Bylaws provide that, subject to federal and state banking laws and regulations, the Company shall indemnify each of our present and former directors and officers to the fullest extent permitted by the laws of the State of Delaware and consistent with the provisions of the DGCL.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that we may offer using this prospectus consist of notes, debentures or other evidences of indebtedness. Any debt securities that we offer and sell will be our direct obligations. Debt securities may be issued in one or more series. All debt securities of any one series need not be issued at the same time, and unless otherwise provided, a series of debt securities may be reopened, without the consent of the holders of outstanding debt securities, for issuance of additional debt securities of that series or to establish additional terms of that series of debt securities (with such additional terms applicable only to unissued or additional debt securities of that series). As required by the Trust Indenture Act of 1939, as amended, for all debt securities that are publicly offered, our debt securities will be governed by a document called an indenture. The form of indenture is subject to any amendments or supplements that we may enter into with the trustee(s) setting forth the specific terms and conditions of the debt securities being issued. The indenture is filed as an exhibit to the registration statement of which this prospectus forms a part. The material terms of the indenture are summarized below and we refer you to the indenture for a detailed description of these material terms. Additional or different provisions that are applicable to a particular series of debt securities will, if material, be described in a prospectus supplement relating to the offering of debt securities of that series. These provisions may include, among other things and to the extent applicable,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including, as applicable, whether the debt securities will be issued as senior debt securities, senior subordinated debt securities, subordinated debt securities or junior subordinated debt securities, and any subordination provisions particular to the series of debt securities; </w:t>
      </w:r>
      <w:r>
        <mc:AlternateContent>
          <mc:Choice Requires="wps">
            <w:drawing>
              <wp:anchor behindDoc="0" distT="7874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889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100% of the aggregate principal amount, the percentage of the aggregate principal amount at which we will sell the debt securities (i.e., original issuance discount); </w:t>
      </w:r>
      <w:r>
        <mc:AlternateContent>
          <mc:Choice Requires="wps">
            <w:drawing>
              <wp:anchor behindDoc="0" distT="889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whether fixed or extendable, on which the principal of the debt securities will be payable; </w:t>
      </w:r>
      <w:r>
        <mc:AlternateContent>
          <mc:Choice Requires="wps">
            <w:drawing>
              <wp:anchor behindDoc="0" distT="889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at which the debt securities will bear interest, if any, the date or dates from which any such interest will accrue, the interest payment dates on which we will pay any such interest, the basis upon which interest will be calculated if other than that of a 360-day year consisting of twelve 30-day months, and, in the case of registered securities, the record dates for the determination of holders to whom interest is payable; </w:t>
      </w:r>
      <w:r>
        <mc:AlternateContent>
          <mc:Choice Requires="wps">
            <w:drawing>
              <wp:anchor behindDoc="0" distT="889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the issuance of the debt securities of the series at an original issue discount; </w:t>
      </w:r>
      <w:r>
        <mc:AlternateContent>
          <mc:Choice Requires="wps">
            <w:drawing>
              <wp:anchor behindDoc="0" distT="889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premium or interest on, the debt securities will be payable and, if applicable, where the debt securities may be surrendered for conversion or exchange; </w:t>
      </w:r>
      <w:r>
        <mc:AlternateContent>
          <mc:Choice Requires="wps">
            <w:drawing>
              <wp:anchor behindDoc="0" distT="0" distB="0" distL="254000" distR="0" simplePos="0" locked="0" layoutInCell="1" allowOverlap="1" relativeHeight="53">
                <wp:simplePos x="0" y="0"/>
                <wp:positionH relativeFrom="column">
                  <wp:align>left</wp:align>
                </wp:positionH>
                <wp:positionV relativeFrom="line">
                  <wp:posOffset>635</wp:posOffset>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may, at our option, redeem, repurchase or repay the debt securities, and if so, the price or prices at which, the period or periods within which, and the terms and conditions upon which, we may redeem, repurchase or repay the debt securities, in whole or in part, pursuant to any sinking fund or otherwise;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100% of the aggregate principal amount thereof, the portion of the principal amount of the debt securities which will be payable upon declaration of acceleration of the maturity date thereof or provable in bankruptcy, or, if applicable, which is convertible or exchangeable;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may have to redeem, purchase or repay the debt securities pursuant to any sinking fund or analogous provisions or at the option of a holder of debt securities, and the price or prices at which, the currency in which and the period or periods within which, and the other terms and conditions upon which, the debt securities will be redeemed, purchased or repaid, in whole or in part, pursuant to any such obligation, and any provision for the remarketing of the debt securities;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registered securities or unregistered securities or both, and the rights of the holders of the debt securities to exchange unregistered securities for registered securities, or vice-versa, and the circumstances under which any such exchanges, if permitted, may be made;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which may be in U.S. dollars or in any foreign currency, in which the debt securities will be issued, if other than denominations of $1,000 and any integral multiple thereof;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the form of certificated debt securities, and if so, the form of the debt securities (or forms thereof if unregistered and registered securities are issuable in that series), including the legends required by law or as we deem necessary or appropriate, the form of any coupons or temporary global security which may be issued and the forms of any other certificates which may be required under the indenture or which we may require in connection with the offering, sale, delivery or exchange of the debt securities;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U.S. dollars, the currency or currencies in which payments of principal, interest and other amounts payable with respect to the debt securities will be denominated, payable, redeemable or purchasable, as the case may be;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may be issuable in tranches;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if any, we may have to permit the conversion or exchange of the debt securities into common stock, preferred stock or other capital stock or property, or a combination thereof, and the terms and conditions upon which such conversion or exchange will be effected (including the conversion price or exchange ratio), and any limitations on the ownership or transferability of the securities or property into which the debt securities may be converted or exchanged;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trustees, authenticating or paying agents, transfer agents or registrars or any other agents with respect to the debt securities;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do not bear interest, the applicable dates required under the indenture for furnishing information to the trustee regarding the holders of the debt securities;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(a) the events of default with respect to the debt securities or (b) the rights of the trustee or the holders of the debt securities in connection with events of default;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the covenants with respect to the debt securities;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of payments of principal of, and make-whole amount, if any, and interest on the debt securities may be determined with reference to an index, the manner in which such amount will be determined;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whole or in part in the global form of one or more debt securities and, if so, the depositary for such debt securities, the circumstances under which any such debt security may be exchanged for debt securities registered in the name of, and under which any transfer of debt securities may be registered in the name of, any person other than such depositary or its nominee, and any other provisions regarding such debt securities; </w:t>
      </w:r>
      <w:r>
        <mc:AlternateContent>
          <mc:Choice Requires="wps">
            <w:drawing>
              <wp:anchor behindDoc="0" distT="0" distB="0" distL="254000" distR="0" simplePos="0" locked="0" layoutInCell="1" allowOverlap="1" relativeHeight="68">
                <wp:simplePos x="0" y="0"/>
                <wp:positionH relativeFrom="column">
                  <wp:align>left</wp:align>
                </wp:positionH>
                <wp:positionV relativeFrom="line">
                  <wp:posOffset>635</wp:posOffset>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under what circumstances and the currency in which, we will pay additional amounts on the debt securities to any holder of the debt securities who is not a U.S. person in respect of any tax, assessment or governmental charge and, if so, whether we will have the option to redeem such debt securities rather than pay such additional amounts (and the terms of any such option);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in whole or specified parts, will be defeasible, and, if the securities may be defeased, in whole or in specified part, any provisions to permit a pledge of obligations other than certain government obligations to satisfy the requirements of the indenture regarding defeasance of securities and, if other than by resolution of our board of directors, the manner in which any election to defease the debt securities will be evidenced;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secured by any property, assets or other collateral and, if so, a general description of the collateral and the terms of any related security, pledge or other agreements;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persons to whom any interest on the debt securities will be payable, if other than the registered holders thereof on the regular record date therefor;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if any, will be payable and the regular record dates for interest payment dates;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conditions or requirements for transfer of the debt securities; and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or conditions upon which the debt securities will be issued.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we will issue debt securities in fully registered form without coupons and in denominations of $1,000 and in integral multiples of $1,000, and interest will be computed on the basis of a 360-day year of twelve 30-day months. If any interest payment date or the maturity date falls on a day that is not a business day, then the payment will be made on the next business day without additional interest and with the same effect as if it were made on the originally scheduled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trustee will act as paying agent and registrar for the debt securities under the indenture. We may also act as paying agent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contain a description of U.S. federal income tax consequences relating to the debt securities, to the extent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any covenants, such as restrictive covenants restricting us or any of our subsidiaries from incurring, issuing, assuming or guarantying any indebtedness or restricting us or any of our subsidiaries from paying dividends or acquiring any of our or its capital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and Transfer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the indenture will permit a consolidation or merger between us and another entity and/or the sale, conveyance or lease by us of all or substantially all of our property and assets; provided, however,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or continuing entity, or the resulting or acquiring entity, if other than us, is organized and existing under the laws of a U.S. jurisdiction and assumes, pursuant to a supplemental indenture, all of our responsibilities and liabilities under the indenture, including the payment of all amounts due on the debt securities and performance of the covenants in the indenture;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the transaction, and giving effect to the transaction, no event of default under the indenture exists; and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an officers’ certificate stating that the transaction and, if a supplemental indenture is required in connection with the transaction, the supplemental indenture, comply with the indenture and that all conditions precedent to the transaction contained in the indenture have been satisfied. </w:t>
      </w:r>
      <w:r>
        <mc:AlternateContent>
          <mc:Choice Requires="wps">
            <w:drawing>
              <wp:anchor behindDoc="0" distT="0" distB="0" distL="254000" distR="0" simplePos="0" locked="0" layoutInCell="1" allowOverlap="1" relativeHeight="78">
                <wp:simplePos x="0" y="0"/>
                <wp:positionH relativeFrom="column">
                  <wp:align>left</wp:align>
                </wp:positionH>
                <wp:positionV relativeFrom="line">
                  <wp:posOffset>635</wp:posOffset>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consolidate or merge with or into any other entity, or sell or lease all or substantially all of our assets in compliance with the terms and conditions of the indenture, the resulting or acquiring entity will be substituted for us in the indenture and the debt securities with the same effect as if it had been an original party to the indenture and the debt securities. As a result, such successor entity may exercise our rights and powers under the indenture and the debt securities, in our name, and, except in the case of a lease, we will be released from all our liabilities and obligations under the indenture and under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we may transfer all of our property and assets to another entity if, immediately after giving effect to the transfer, such entity is our wholly owned subsidiary. The term “wholly owned subsidiary” means any subsidiary in which we and/or our other wholly owned subsidiaries own all of the outstanding capital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under the indenture, some of our rights and obligations and some of the rights of the holders of the debt securities may be modified or amended with the consent of the holders of not less than a majority in aggregate principal amount of the outstanding debt securities affected by the modification or amendment. However, the following modifications and amendments will not be effective against any holder without its consent: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stated maturity date of any payment of principal or interest; </w:t>
      </w:r>
      <w:r>
        <mc:AlternateContent>
          <mc:Choice Requires="wps">
            <w:drawing>
              <wp:anchor behindDoc="0" distT="787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reduction in the principal amount of, or interest on, any debt securities; </w:t>
      </w:r>
      <w:r>
        <mc:AlternateContent>
          <mc:Choice Requires="wps">
            <w:drawing>
              <wp:anchor behindDoc="0" distT="8255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alteration or impairment of any right to convert at the rate or upon the terms provided in the indenture; </w:t>
      </w:r>
      <w:r>
        <mc:AlternateContent>
          <mc:Choice Requires="wps">
            <w:drawing>
              <wp:anchor behindDoc="0" distT="8255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in the currency in which any payment on the debt securities is payable; </w:t>
      </w:r>
      <w:r>
        <mc:AlternateContent>
          <mc:Choice Requires="wps">
            <w:drawing>
              <wp:anchor behindDoc="0" distT="8255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of a holder’s right to sue us for the enforcement of payments due on the debt securities; or </w:t>
      </w:r>
      <w:r>
        <mc:AlternateContent>
          <mc:Choice Requires="wps">
            <w:drawing>
              <wp:anchor behindDoc="0" distT="8255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reduction in the percentage of outstanding debt securities required to consent to a modification or amendment of the indenture or required to consent to a waiver of compliance with certain provisions of the indenture or certain defaults under the indenture. </w:t>
      </w:r>
      <w:r>
        <mc:AlternateContent>
          <mc:Choice Requires="wps">
            <w:drawing>
              <wp:anchor behindDoc="0" distT="8255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 the holders of not less than a majority in aggregate principal amount of the outstanding debt securities may, on behalf of all holders of the debt securities: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compliance by us with certain restrictive provisions of the indenture; and </w:t>
      </w:r>
      <w:r>
        <mc:AlternateContent>
          <mc:Choice Requires="wps">
            <w:drawing>
              <wp:anchor behindDoc="0" distT="7874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any past default under the indenture in accordance with the applicable provisions of the indenture, except a default in the payment of the principal of, or interest on, any series of debt securities. </w:t>
      </w:r>
      <w:r>
        <mc:AlternateContent>
          <mc:Choice Requires="wps">
            <w:drawing>
              <wp:anchor behindDoc="0" distT="8255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Finally, we and the indenture trustee may, from time to time, amend the indenture without the consent of holders of the debt securities for certain purposes, including but not limited to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entity to us or successive successions and the assumption by such entity of our covenants, agreements and obligations under the indenture;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additional events of default for the protection of the holders of debt securities; </w:t>
      </w:r>
      <w:r>
        <mc:AlternateContent>
          <mc:Choice Requires="wps">
            <w:drawing>
              <wp:anchor behindDoc="0" distT="8255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covenants for the protection of the holders of debt securities; and </w:t>
      </w:r>
      <w:r>
        <mc:AlternateContent>
          <mc:Choice Requires="wps">
            <w:drawing>
              <wp:anchor behindDoc="0" distT="8255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certain other administrative modifications which do not materially and adversely affect the interests of the holders of debt securities. </w:t>
      </w:r>
      <w:r>
        <mc:AlternateContent>
          <mc:Choice Requires="wps">
            <w:drawing>
              <wp:anchor behindDoc="0" distT="8255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“event of default” under the indenture will mean, with respect to any series of debt securities, any of the following: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interest on any debt security for 30 days after the payment is due; </w:t>
      </w:r>
      <w:r>
        <mc:AlternateContent>
          <mc:Choice Requires="wps">
            <w:drawing>
              <wp:anchor behindDoc="0" distT="8001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the principal of any debt security when due, either at maturity, upon redemption, by declaration or otherwise; </w:t>
      </w:r>
      <w:r>
        <mc:AlternateContent>
          <mc:Choice Requires="wps">
            <w:drawing>
              <wp:anchor behindDoc="0" distT="800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on our part to observe or perform any other covenant or agreement in the indenture that applies to the debt securities for 90 days after we have received written notice of the failure to perform in the manner specified in the indenture; and </w:t>
      </w:r>
      <w:r>
        <mc:AlternateContent>
          <mc:Choice Requires="wps">
            <w:drawing>
              <wp:anchor behindDoc="0" distT="800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w:t>
      </w:r>
      <w:r>
        <mc:AlternateContent>
          <mc:Choice Requires="wps">
            <w:drawing>
              <wp:anchor behindDoc="0" distT="800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occurs and continues, the trustee or the holders of not less than 25% in aggregate principal amount of the outstanding debt securities of such series may declare the entire principal of all the debt securities to be due and payable immediately, except that, if the event of default is caused by certain events of bankruptcy, insolvency or reorganization, the entire principal of all of the debt securities of such series will become due and payable immediately without any act on the part of the trustee or holders of the debt securities. If such a declaration occurs, the holders of a majority of the aggregate principal amount of the outstanding debt securities of such series can, subject to conditions, rescind the declaration.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requires us to furnish to the trustee, not less often than annually, a certificate from our principal executive officer, principal financial officer or principal accounting officer, as the case may be, as to such officer’s knowledge of our compliance with all conditions and covenants under the indenture. The trustee may withhold notice to the holders of debt securities of any default, except defaults in the payment of principal of, or interest on, any debt securities if the trustee in good faith determines that the withholding of notice is in the best interests of the holders. For purposes of this paragraph, “default” means any event which is, or after notice or lapse of time or both would become, an event of default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is not obligated to exercise any of its rights or powers under the indenture at the request, order or direction of any holders of debt securities, unless the holders offer the trustee satisfactory security or indemnity. If satisfactory security or indemnity is provided, then, subject to other rights of the trustee, the holders of a majority in aggregate principal amount of the outstanding debt securities may direct the time, method and place of: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conducting any proceeding for any remedy available to the trustee; or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exercising any trust or power conferred upon the trustee.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a debt security will have the right to begin any proceeding with respect to the indenture or for any remedy only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has previously given the trustee written notice of a continuing event of default;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not less than a majority in aggregate principal amount of the outstanding debt securities have made a written request of, and offered reasonable indemnity to, the trustee to begin such proceeding; </w:t>
      </w:r>
      <w:r>
        <mc:AlternateContent>
          <mc:Choice Requires="wps">
            <w:drawing>
              <wp:anchor behindDoc="0" distT="7874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not started such proceeding within 60 days after receiving the request; and </w:t>
      </w:r>
      <w:r>
        <mc:AlternateContent>
          <mc:Choice Requires="wps">
            <w:drawing>
              <wp:anchor behindDoc="0" distT="7874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direction inconsistent with such written request has been given to the trustee under the indenture.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 holder of any debt security will have an absolute right to receive payment of principal of, and interest on, the debt security when due and to institute suit to enforce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Satisfaction and Discharge of Indenture.</w:t>
      </w:r>
      <w:r>
        <w:rPr>
          <w:rFonts w:ascii="Times New Roman;Times;serif" w:hAnsi="Times New Roman;Times;serif"/>
          <w:b w:val="false"/>
          <w:i w:val="false"/>
          <w:caps w:val="false"/>
          <w:smallCaps w:val="false"/>
          <w:color w:val="000000"/>
          <w:spacing w:val="4"/>
          <w:sz w:val="20"/>
        </w:rPr>
        <w:t xml:space="preserve">   Unless otherwise indicated in the applicable prospectus supplement, if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paid the principal of and interest on all the debt securities of any series, except for debt securities which have been destroyed, lost or stolen and which have been replaced or paid in accordance with the indenture, as and when the same has become due and payable; </w:t>
      </w:r>
      <w:r>
        <mc:AlternateContent>
          <mc:Choice Requires="wps">
            <w:drawing>
              <wp:anchor behindDoc="0" distT="0" distB="0" distL="254000" distR="0" simplePos="0" locked="0" layoutInCell="1" allowOverlap="1" relativeHeight="101">
                <wp:simplePos x="0" y="0"/>
                <wp:positionH relativeFrom="column">
                  <wp:align>left</wp:align>
                </wp:positionH>
                <wp:positionV relativeFrom="line">
                  <wp:posOffset>635</wp:posOffset>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for cancellation all debt securities of any series theretofore authenticated, except for debt securities of such series which have been destroyed, lost or stolen and which have been replaced or paid as provided in the indenture; or </w:t>
      </w:r>
      <w:r>
        <mc:AlternateContent>
          <mc:Choice Requires="wps">
            <w:drawing>
              <wp:anchor behindDoc="0" distT="7239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the debt securities of such series not theretofore delivered to the trustee for cancellation have become due and payable, or are by their terms to become due and payable within one year or are to be called for redemption within one year, and we have deposited with the trustee, in trust, sufficient money or government obligations, or a combination thereof, to pay the principal, any interest and any other sums due on the debt securities, on the dates the payments are due or become due under the indenture and the terms of the debt securities; </w:t>
      </w:r>
      <w:r>
        <mc:AlternateContent>
          <mc:Choice Requires="wps">
            <w:drawing>
              <wp:anchor behindDoc="0" distT="7239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the indenture shall cease to be of further effect with respect to the debt securities of such series, except for (a) rights of registration of transfer and exchange, and our right of optional redemption, (b) substitution of mutilated, defaced, destroyed, lost or stolen debt securities, (c) rights of holders to receive payments of principal thereof and interest thereon upon the original stated due dates therefor (but not upon acceleration) and remaining rights of the holders to receive mandatory sinking fund payments, if any, (d) the rights, obligations and immunities of the trustee under the indenture, and (e) the rights of the holders of such series of debt securities as beneficiaries thereof with respect to the property so deposited with the trustee payable to all or any of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Defeasance and Covenant Defeasance.   </w:t>
      </w: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we may elect with respect to any debt securities of any series either: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defease and be discharged from all of our obligations with respect to such debt securities (“defeasance”), with certain exceptions described below; or </w:t>
      </w:r>
      <w:r>
        <mc:AlternateContent>
          <mc:Choice Requires="wps">
            <w:drawing>
              <wp:anchor behindDoc="0" distT="7366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released from our obligations with respect to such debt securities under such covenants as may be specified in the applicable prospectus supplement, and any omission to comply with those obligations will not constitute a default or an event of default with respect to such debt securities (“covenant defeasance”). </w:t>
      </w:r>
      <w:r>
        <mc:AlternateContent>
          <mc:Choice Requires="wps">
            <w:drawing>
              <wp:anchor behindDoc="0" distT="7366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comply with the following conditions before the defeasance or covenant defeasance can be effected: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irrevocably deposit with the indenture trustee or other qualifying trustee, under the terms of an irrevocable trust agreement in form and substance satisfactory to the trustee, trust funds in trust solely for the benefit of the holders of such debt securities, sufficient money or government obligations, or a combination thereof, to pay the principal, any interest and any other sums on the due dates for those payments; and </w:t>
      </w:r>
      <w:r>
        <mc:AlternateContent>
          <mc:Choice Requires="wps">
            <w:drawing>
              <wp:anchor behindDoc="0" distT="7366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an opinion of counsel to the effect that the holders of such debt securities will not recognize income, gain or loss for federal income tax purposes as a result of such defeasance or covenant defeasance, as the case may be, to be effected with respect to such debt securities and will be subject to federal income tax on the same amount, in the same manner and at the same times as would be the case if such defeasance or covenant defeasance, as the case may be, had not occurred. </w:t>
      </w:r>
      <w:r>
        <mc:AlternateContent>
          <mc:Choice Requires="wps">
            <w:drawing>
              <wp:anchor behindDoc="0" distT="7366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defeasance, any irrevocable trust agreement contemplated by the indenture must include, among other things, provision for (a) payment of the principal of and interest on such debt securities, if any, appertaining thereto when due (by redemption, sinking fund payments or otherwise), (b) the payment of the expenses of the trustee incurred or to be incurred in connection with carrying out such trust provisions, (c) rights of registration, transfer, substitution and exchange of such debt securities in accordance with the terms stated in the indenture, and (d) continuation of the rights, obligations and immunities of the trustee as against the holders of such debt securities as stated in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prospectus supplement may further describe any provisions permitting or restricting defeasance or covenant defeasance with respect to the debt securities of a particular series.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each debt security offered by this prospectus will be issued in the form of one or more global debt securities representing all or part of that series of debt securities. This means that we will not issue certificates for that series of debt securities to the holders. Instead, a global debt security representing that series will be deposited with, or on behalf of, a securities depositary and registered in the name of the depositary or a nominee of the depositary. Any such depositary must be a clearing agency registered under the Exchange Act. We will describe the specific terms of the depositary arrangement with respect to a series of debt securities to be represented by a global security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notices to holders of the debt securities by mail at the addresses listed in the security register. In the case of notice in respect of unregistered securities or coupon securities, we may give notice by publication in a newspaper of general circulation in New York,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laws of the State of New York, except to the extent the Trust Indenture Act of 1939, as amended, is applicable.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Regarding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val="false"/>
          <w:i w:val="false"/>
          <w:caps w:val="false"/>
          <w:smallCaps w:val="false"/>
          <w:color w:val="000000"/>
          <w:spacing w:val="4"/>
          <w:sz w:val="20"/>
        </w:rPr>
        <w:t xml:space="preserve">   We will enter into the indenture with a trustee that is qualified to act under the Trust Indenture Act of 1939, as amended, and with any other trustees chosen by us and appointed in a supplemental indenture for a particular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or Removal of Trustee.</w:t>
      </w:r>
      <w:r>
        <w:rPr>
          <w:rFonts w:ascii="Times New Roman;Times;serif" w:hAnsi="Times New Roman;Times;serif"/>
          <w:b w:val="false"/>
          <w:i w:val="false"/>
          <w:caps w:val="false"/>
          <w:smallCaps w:val="false"/>
          <w:color w:val="000000"/>
          <w:spacing w:val="4"/>
          <w:sz w:val="20"/>
        </w:rPr>
        <w:t xml:space="preserve">    If the trustee has or acquires a conflicting interest within the meaning of the Trust Indenture Act, the trustee must either eliminate its conflicting interest or resign, to the extent and in the manner provided by, and subject to the provisions of, the Trust Indenture Act and the indenture. Any resignation will require the appointment of a successor trustee under the indenture in accordance with the terms and conditions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Trustee Report to Holders of Debt Securities.</w:t>
      </w:r>
      <w:r>
        <w:rPr>
          <w:rFonts w:ascii="Times New Roman;Times;serif" w:hAnsi="Times New Roman;Times;serif"/>
          <w:b w:val="false"/>
          <w:i w:val="false"/>
          <w:caps w:val="false"/>
          <w:smallCaps w:val="false"/>
          <w:color w:val="000000"/>
          <w:spacing w:val="4"/>
          <w:sz w:val="20"/>
        </w:rPr>
        <w:t xml:space="preserve">    The trustee will be required to submit certain reports to the holders of the debt securities regarding, among other things, the trustee’s eligibility to serve as such, the priority of the trustee’s claims regarding advances made by it, and any action taken by the trustee materially affecting the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Certificates and Opinions to Be Furnished to Trustee.</w:t>
      </w:r>
      <w:r>
        <w:rPr>
          <w:rFonts w:ascii="Times New Roman;Times;serif" w:hAnsi="Times New Roman;Times;serif"/>
          <w:b w:val="false"/>
          <w:i w:val="false"/>
          <w:caps w:val="false"/>
          <w:smallCaps w:val="false"/>
          <w:color w:val="000000"/>
          <w:spacing w:val="4"/>
          <w:sz w:val="20"/>
        </w:rPr>
        <w:t xml:space="preserve">   The indenture provides that, in addition to other certificates or opinions specifically required by other provisions of the indenture, every application by us for action by the trustee must be accompanied by a certificate from one or more of our officers and an opinion of counsel (who may be our counsel) stating that, in the opinion of the signers, all conditions precedent to such action have been complied with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in the Ordinary Course.</w:t>
      </w:r>
      <w:r>
        <w:rPr>
          <w:rFonts w:ascii="Times New Roman;Times;serif" w:hAnsi="Times New Roman;Times;serif"/>
          <w:b w:val="false"/>
          <w:i w:val="false"/>
          <w:caps w:val="false"/>
          <w:smallCaps w:val="false"/>
          <w:color w:val="000000"/>
          <w:spacing w:val="4"/>
          <w:sz w:val="20"/>
        </w:rPr>
        <w:t xml:space="preserve">   From time to time, we may maintain deposit accounts and conduct other banking transactions with the trustee to be appointed under the indenture or its affiliates in the ordinary course of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W"/>
      <w:bookmarkEnd w:id="11"/>
      <w:r>
        <w:rPr>
          <w:rFonts w:ascii="calibri;arial;sans-serif" w:hAnsi="calibri;arial;sans-serif"/>
          <w:b w:val="false"/>
          <w:i w:val="false"/>
          <w:caps w:val="false"/>
          <w:smallCaps w:val="false"/>
          <w:color w:val="000000"/>
          <w:sz w:val="16"/>
        </w:rPr>
        <w:t>​</w:t>
      </w:r>
      <w:bookmarkStart w:id="12" w:name="tDODS1"/>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for the purchase of debt securities, preferred stock, common stock, other securities of the Company or any combination of the foregoing. Warrants may be issued alone or together with securities offered by any prospectus supplement and may be attached to, or separate from, those securities. The particular terms of any warrants will be described more specifically in the prospectus supplement relating to such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warrants we are offering will include specific terms relating to the offering. We will file the form of any warrant agreement with the SEC, and you should read the warrant agreement for provisions that may be important to you. The prospectus supplement will include some or all of the following information: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specific designation of the warrants;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number of warrants offered;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warrants outstanding, if any; </w:t>
      </w:r>
      <w:r>
        <mc:AlternateContent>
          <mc:Choice Requires="wps">
            <w:drawing>
              <wp:anchor behindDoc="0" distT="787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number and terms of the securities purchasable upon exercise of the warrants, and procedures that will result in the adjustment of those numbers; </w:t>
      </w:r>
      <w:r>
        <mc:AlternateContent>
          <mc:Choice Requires="wps">
            <w:drawing>
              <wp:anchor behindDoc="0" distT="787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or prices of the warrants; </w:t>
      </w:r>
      <w:r>
        <mc:AlternateContent>
          <mc:Choice Requires="wps">
            <w:drawing>
              <wp:anchor behindDoc="0" distT="787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or periods during which the warrants are exercisable; </w:t>
      </w:r>
      <w:r>
        <mc:AlternateContent>
          <mc:Choice Requires="wps">
            <w:drawing>
              <wp:anchor behindDoc="0" distT="787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any securities with which the warrants are issued;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warrants are issued as a unit with another security, the date, if any, on and after which the warrants and the other security will be separately transferable;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exercise price is not payable in U.S. dollars, the foreign currency, currency unit or composite currency in which the exercise price is denominated;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minimum or maximum amount of warrants that may be exercised at any one time; </w:t>
      </w:r>
      <w:r>
        <mc:AlternateContent>
          <mc:Choice Requires="wps">
            <w:drawing>
              <wp:anchor behindDoc="0" distT="7874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anti-dilution, redemption or call provisions of the warrants, if any; </w:t>
      </w:r>
      <w:r>
        <mc:AlternateContent>
          <mc:Choice Requires="wps">
            <w:drawing>
              <wp:anchor behindDoc="0" distT="7874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identity of the warrant agent for the warrants and of any other depositaries, execution or paying agents, transfer agents, registrars or other agents; </w:t>
      </w:r>
      <w:r>
        <mc:AlternateContent>
          <mc:Choice Requires="wps">
            <w:drawing>
              <wp:anchor behindDoc="0" distT="787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terms, procedures and limitations relating to the transferability, exchange or exercise of the warrants; and </w:t>
      </w:r>
      <w:r>
        <mc:AlternateContent>
          <mc:Choice Requires="wps">
            <w:drawing>
              <wp:anchor behindDoc="0" distT="787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material terms of the warrants. </w:t>
      </w:r>
      <w:r>
        <mc:AlternateContent>
          <mc:Choice Requires="wps">
            <w:drawing>
              <wp:anchor behindDoc="0" distT="7874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exercising their warrants, holders of warrants will not have any of the rights of holders of the securities purchasable upon such exercise, including the right to receive dividends, if any, or payments upon our liquidation, dissolution or winding-up, or to exercise voting rights, if 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general terms of the deposit agreement to govern any depositary shares we may offer representing fractional interests in shares of our preferred stock, the depositary shares themselves and the related depositary receipts. This summary does not purport to be complete in all respects and is subject to and qualified entirely by reference to the relevant deposit agreement and depositary receipt with respect to the depositary shares relating to any particular series of preferred stock. A copy of the deposit agreement and form of depositary receipt relating to any depositary shares we issue will be filed with the SEC as an exhibit to the registration statement of which this prospectus is a part or as an exhibit to a filing incorporated by reference in the registration statement. The specific terms of any depositary shares we may offer will be described in the applicable prospectus supplement. If so described in the applicable prospectus supplement, the terms of that series of depositary shares may differ from the general description of terms presented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fractional interests in shares of our preferred stock, rather than full shares of preferred stock, most likely in the event that our then authorized but yet undesignated shares of preferred stock is not sufficient to offer full shares of preferred stock. If we do, we will provide for the issuance by a depositary to the public of receipts for depositary shares, each of which will represent a fractional interest in a share of a particular series of preferred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shares of any series of preferred stock underlying the depositary shares will be deposited under a separate deposit agreement between us and a bank or trust company having its principal office in the United States and having a combined capital and surplus of such amount as may be set forth in the applicable prospectus supplement, which we refer to in this section as the depositary. We will name the depositary in the applicable prospectus supplement. Subject to the terms of the deposit agreement, each owner of a depositary share will have a fractional interest in all the rights and preferences of the preferred stock underlying the depositary share. Those rights include any dividend, voting, redemption, conversion and liquidation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shares will be evidenced by depositary receipts issued under the deposit agreement. Purchasers of fractional interests in shares of the related series of preferred stock will receive depositary receipts as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specify otherwise in the applicable prospectus supplement, purchasers will not be entitled to receive the whole shares of preferred stock underlying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in respect of the preferred stock underlying the depositary shares to each record holder of depositary shares based on the number of the depositary shares owned by that holder on the relevant record date. The depositary will distribute only that amount which can be distributed without attributing to any holder of depositary shares a fraction of one cent, and any balance not so distributed will be added to and treated as part of the next sum received by the depositary for distribution to record holders of depositary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distribution other than in cash, the depositary will distribute property to the entitled record holders of depositary shares, unless the depositary determines that it is not feasible to make that distribution. In that case the depositary may, with our approval, adopt the method it deems equitable and practicable for making that distribution, including any sale of property and distribution of the net proceeds from this sale to the applicable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will also contain provisions relating to how any subscription or similar rights offered by us to holders of the preferred stock will be made available to the holders of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 depositary receives notice of any meeting at which the holders of the preferred stock may vote, the depositary will mail information about the meeting contained in the notice, and any accompanying proxy materials, to the record holders of the depositary shares relating to the preferred stock. Each record holder of such depositary shares on the record date, which will be the same date as the record date for the preferred stock, will be entitled to instruct the depositary as to how the preferred stock underlying the holder’s depositary shares should be voted.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series of preferred stock underlying the depositary shares is subject to conversion or exchange, the applicable prospectus supplement will describe the rights or obligations of each record holder of depositary receipts to convert or exchange the depositary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series of the preferred stock underlying the depositary shares is subject to redemption, all or a part of the depositary shares will be redeemed from the redemption proceeds of that series of the preferred stock held by the depositary. The redemption price per depositary share will bear the same relationship to the redemption price per share of preferred stock that the depositary share bears to the underlying preferred stock. Whenever we redeem preferred stock held by the depositary, the depositary will redeem, as of the same redemption date, the number of depositary shares representing the preferred stock redeemed. If less than all the depositary shares are to be redeemed, the depositary shares to be redeemed will be selected by lot or </w:t>
      </w:r>
      <w:r>
        <w:rPr>
          <w:rFonts w:ascii="Times New Roman;Times;serif" w:hAnsi="Times New Roman;Times;serif"/>
          <w:b w:val="false"/>
          <w:i/>
          <w:caps w:val="false"/>
          <w:smallCaps w:val="false"/>
          <w:color w:val="000000"/>
          <w:spacing w:val="4"/>
          <w:sz w:val="20"/>
        </w:rPr>
        <w:t>pro rata</w:t>
      </w:r>
      <w:r>
        <w:rPr>
          <w:rFonts w:ascii="Times New Roman;Times;serif" w:hAnsi="Times New Roman;Times;serif"/>
          <w:b w:val="false"/>
          <w:i w:val="false"/>
          <w:caps w:val="false"/>
          <w:smallCaps w:val="false"/>
          <w:color w:val="000000"/>
          <w:spacing w:val="4"/>
          <w:sz w:val="20"/>
        </w:rPr>
        <w:t xml:space="preserve"> as determined by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date fixed for redemption, the depositary shares called for redemption will no longer be outstanding. When the depositary shares are no longer outstanding, all rights of the holders will cease, except the right to receive money or other property that the holders of the depositary shares were entitled to receive upon the redemption. Payments will be made when holders surrender their depositary receipts to the depositary.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 of depositary shares will be treated for U.S. federal income tax purposes as if they were owners of the preferred stock represented by the depositary shares. If necessary, the applicable prospectus supplement will provide a description of U.S. federal income tax consequences relating to the purchase and ownership of the depositary shares and the preferred stock represented by the depositary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the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deposit agreement may be amended by agreement between us and the depositary at any time. However, certain amendments as specified in the applicable prospectus supplement will not be effective unless approved by the record holders of at least a majority of the depositary shares then-outstanding. A deposit agreement may be terminated by us or the depositary only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relating to the deposit agreement have been redeemed; or </w:t>
      </w:r>
      <w:r>
        <mc:AlternateContent>
          <mc:Choice Requires="wps">
            <w:drawing>
              <wp:anchor behindDoc="0" distT="7620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final distribution on the preferred stock of the relevant series in connection with our liquidation, dissolution or winding up of our business and the distribution has been distributed to the holders of the related depositary shares. </w:t>
      </w:r>
      <w:r>
        <mc:AlternateContent>
          <mc:Choice Requires="wps">
            <w:drawing>
              <wp:anchor behindDoc="0" distT="7620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all transfer and other taxes and governmental charges arising solely from the existence of the depositary arrangements. We will pay associated charges of the depositary for the initial deposit of the preferred stock and any redemption of the preferred stock. Holders of depositary shares will pay transfer and other taxes and governmental charges and any other charges that are stated to be their responsibility in the deposit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notice to us. We may also remove the depositary at any time. Resignations or removals will take effect when a successor depositary is appointed and it accepts the appointment.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OS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general terms of the subscription rights to purchase common stock or other securities that we may offer to stockholders using this prospectus. This summary does not purport to be complete in all respects and is subject to and qualified entirely by reference to the applicable forms of subscription agent agreement and subscription certificate for a full understanding of all terms of any series of subscription rights. The forms of the subscription agent agreement and the subscription certificate will be filed with the SEC as an exhibit to the registration statement of which this prospectus is a part or as an exhibit to a filing incorporated by reference in the registration statement. See “Where You Can Find More Information” for information on how to obtain copies.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may be issued independently or together with any other security and may or may not be transferable. As part of any subscription rights offering, we may enter into a standby underwriting or other arrangement under which the underwriters or any other person would purchase any securities that are not purchased in such subscription rights offering. If we issue subscription rights, they will be governed by a separate subscription agent agreement that we will sign with a bank or trust company, as rights agent, that will be named in the applicable prospectus supplement. The rights agent will act solely as our agent and will not assume any obligation to any holders of subscription rights certificates or beneficial owners of subscription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subscription rights we offer will describe the specific terms of the offering and the subscription rights, including the record date for stockholders entitled to the subscription rights distribution, the number of subscription rights issued and the number of shares of common stock or other securities that may be purchased upon exercise of the subscription rights, the exercise price of the subscription rights, the date on which the subscription rights will become effective and the date on which the subscription rights will expire, and any material U.S. federal income tax considerations.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subscription right entitles the holder to purchase for cash a specific number of shares of common stock or other securities at a specified exercise price. The rights are normally issued to stockholders as of a specific record date, may be exercised only for a limited period of time and become void following the expiration of such period. If we determine to issue subscription rights, we will accompany this prospectus with a prospectus supplement that will describe,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date for stockholders entitled to receive the subscription rights; </w:t>
      </w:r>
      <w:r>
        <mc:AlternateContent>
          <mc:Choice Requires="wps">
            <w:drawing>
              <wp:anchor behindDoc="0" distT="7620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of common stock or other securities that may be purchased upon exercise of each subscription right; </w:t>
      </w:r>
      <w:r>
        <mc:AlternateContent>
          <mc:Choice Requires="wps">
            <w:drawing>
              <wp:anchor behindDoc="0" distT="7620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of the subscription rights; </w:t>
      </w:r>
      <w:r>
        <mc:AlternateContent>
          <mc:Choice Requires="wps">
            <w:drawing>
              <wp:anchor behindDoc="0" distT="7620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subscription rights are transferable; </w:t>
      </w:r>
      <w:r>
        <mc:AlternateContent>
          <mc:Choice Requires="wps">
            <w:drawing>
              <wp:anchor behindDoc="0" distT="7620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during which the subscription rights may be exercised and when they will expire;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steps required to exercise the subscription rights; </w:t>
      </w:r>
      <w:r>
        <mc:AlternateContent>
          <mc:Choice Requires="wps">
            <w:drawing>
              <wp:anchor behindDoc="0" distT="7620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subscription rights include “oversubscription rights” so that the holder may purchase more securities if other holders do not purchase their full allotments; and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we intend to sell the shares of common stock or other securities that are not purchased in the rights offering to an underwriter or other purchaser under a contractual “standby” commitment or other arrangement.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fewer than all of the subscription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 After the close of business on the expiration date of a subscription rights offering, all unexercised subscription rights will become void.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OSP"/>
      <w:bookmarkEnd w:id="14"/>
      <w:r>
        <w:rPr>
          <w:rFonts w:ascii="calibri;arial;sans-serif" w:hAnsi="calibri;arial;sans-serif"/>
          <w:b w:val="false"/>
          <w:i w:val="false"/>
          <w:caps w:val="false"/>
          <w:smallCaps w:val="false"/>
          <w:color w:val="000000"/>
          <w:sz w:val="16"/>
        </w:rPr>
        <w:t>​</w:t>
      </w:r>
      <w:bookmarkStart w:id="15" w:name="tDOU"/>
      <w:bookmarkEnd w:id="15"/>
      <w:r>
        <w:rPr>
          <w:rFonts w:ascii="calibri;arial;sans-serif" w:hAnsi="calibri;arial;sans-serif"/>
          <w:b w:val="false"/>
          <w:i w:val="false"/>
          <w:caps w:val="false"/>
          <w:smallCaps w:val="false"/>
          <w:color w:val="000000"/>
          <w:sz w:val="16"/>
        </w:rPr>
        <w:t>​</w:t>
      </w:r>
      <w:bookmarkStart w:id="16" w:name="tSES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Stock Purchase Contracts and Stock Purchase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stock purchase contracts, including contracts obligating holders to purchase from us, and us to sell to the holders, a specified number of shares of our common stock or preferred stock at a future date or dates, which we refer to in this prospectus as “Stock Purchase Contracts.” The price per share, and number of shares, of our common stock or preferred stock may be fixed at the time the Stock Purchase Contracts are issued or may be determined by reference to a specific formula set forth in the Stock Purchase Contracts. The Stock Purchase Contracts may be issued separately or as a part of units consisting of a Stock Purchase Contract and our debt securities or debt obligations of third parties, including Treasury securities, securing the holders’ obligations to purchase the shares of our common stock under the Stock Purchase Contracts, which we refer to in this prospectus as “Stock Purchase Units.” The Stock Purchase Contracts may require holders to secure their obligations thereunder in a specified manner. The Stock Purchase Contracts also may require us to make periodic payments to the holders of the Stock Purchase Units or vice-versa and such payments may be unsecured or prefunded on some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any Stock Purchase Contracts or Stock Purchase Units. The description in the prospectus supplement will not necessarily be complete, and reference will be made to the Stock Purchase Contracts, and, if applicable, collateral or depositary arrangements, relating to the Stock Purchase Contracts or Stock Purchase Units. Material U.S. federal income tax considerations applicable to the Stock Purchase Units and the Stock Purchase Contracts will also be discussed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the applicable prospectus supplement, we may issue units consisting of one or more debt securities, shares of common stock, shares of preferred stock, depositary shares, warrants or other securities, or any combination of such securities, including guarantees of any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and any other offering materials relating to any units issued under the registration statement containing this prospectus will specify the terms of the units, including: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units and of any of the debt securities, common stock, preferred stock, depositary shares, warrants and guarantees comprising the units, including whether and under what circumstances the securities comprising the units may be traded separately;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terms of any unit agreement governing the units; and </w:t>
      </w:r>
      <w:r>
        <mc:AlternateContent>
          <mc:Choice Requires="wps">
            <w:drawing>
              <wp:anchor behindDoc="0" distT="7239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provisions for the payment, settlement, transfer or exchange of the units. </w:t>
      </w:r>
      <w:r>
        <mc:AlternateContent>
          <mc:Choice Requires="wps">
            <w:drawing>
              <wp:anchor behindDoc="0" distT="7239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stockholders of the Company have deposited their shares into a voting trust referred to as the Heartland Bancorp, Inc. Voting Trust U/A/D 5/4/2016 (“Voting Trust”), established pursuant to the Voting Trust Agreement, dated as of May 4, 2015, by and among Fred L. Drake, as trustee, the Company and certain of the Company’s stockholders who are members of Mr. Drake’s family and are party thereto representing 47.3% of the Company’s outstanding common stock as of March 31, 2026. This prospectus also relates to the possible resale of up to 4,000,000 shares of Company common stock held in the Voting Trust, which, together with its donees, pledgees, assignees, transferees, distributees or other successors in interest, we refer to in this prospectus as the “selling stockholder.” The Voting Trust is the record holder of the shares of Company common stock held in the Voting Trust. Fred L. Drake serves as the Executive Chairman of the Boards of the Company and the Bank.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details the name of the selling stockholder, the number of shares of common stock held by the selling stockholder, and the number of shares that may be offered by the selling stockholder for resale under this prospectus. Since the selling stockholder may sell all, some or none of the common shares covered by this prospectus, no estimate can be made of the number of common shares that will be sold by the selling stockholder pursuant to this prospectus or that will be owned by the selling stockholder upon completion of the offering. The following table has been prepared on the assumption that all shares offered for resale by the selling stockholder under this prospectus will be sold to parties unaffiliated with the selling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O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056" w:type="dxa"/>
        <w:jc w:val="left"/>
        <w:tblInd w:w="1393" w:type="dxa"/>
        <w:tblLayout w:type="fixed"/>
        <w:tblCellMar>
          <w:top w:w="0" w:type="dxa"/>
          <w:left w:w="0" w:type="dxa"/>
          <w:bottom w:w="28" w:type="dxa"/>
          <w:right w:w="0" w:type="dxa"/>
        </w:tblCellMar>
      </w:tblPr>
      <w:tblGrid>
        <w:gridCol w:w="1231"/>
        <w:gridCol w:w="109"/>
        <w:gridCol w:w="109"/>
        <w:gridCol w:w="109"/>
        <w:gridCol w:w="109"/>
        <w:gridCol w:w="1186"/>
        <w:gridCol w:w="109"/>
        <w:gridCol w:w="109"/>
        <w:gridCol w:w="109"/>
        <w:gridCol w:w="157"/>
        <w:gridCol w:w="157"/>
        <w:gridCol w:w="759"/>
        <w:gridCol w:w="158"/>
        <w:gridCol w:w="109"/>
        <w:gridCol w:w="109"/>
        <w:gridCol w:w="109"/>
        <w:gridCol w:w="109"/>
        <w:gridCol w:w="1066"/>
        <w:gridCol w:w="109"/>
        <w:gridCol w:w="109"/>
        <w:gridCol w:w="109"/>
        <w:gridCol w:w="196"/>
        <w:gridCol w:w="196"/>
        <w:gridCol w:w="623"/>
        <w:gridCol w:w="198"/>
        <w:gridCol w:w="109"/>
        <w:gridCol w:w="109"/>
        <w:gridCol w:w="199"/>
        <w:gridCol w:w="199"/>
        <w:gridCol w:w="632"/>
        <w:gridCol w:w="201"/>
        <w:gridCol w:w="154"/>
      </w:tblGrid>
      <w:tr>
        <w:trPr/>
        <w:tc>
          <w:tcPr>
            <w:tcW w:w="12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6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Prior to the Offering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Number of</w:t>
            </w:r>
            <w:r>
              <w:rPr/>
              <w:t xml:space="preserve"> </w:t>
              <w:br/>
            </w:r>
            <w:r>
              <w:rPr>
                <w:spacing w:val="-3"/>
              </w:rPr>
              <w:t>Shares of</w:t>
            </w:r>
            <w:r>
              <w:rPr/>
              <w:t xml:space="preserve"> </w:t>
              <w:br/>
            </w:r>
            <w:r>
              <w:rPr>
                <w:spacing w:val="-3"/>
              </w:rPr>
              <w:t>Common</w:t>
            </w:r>
            <w:r>
              <w:rPr/>
              <w:t xml:space="preserve"> </w:t>
              <w:br/>
            </w:r>
            <w:r>
              <w:rPr>
                <w:spacing w:val="-3"/>
              </w:rPr>
              <w:t>Stock</w:t>
            </w:r>
            <w:r>
              <w:rPr/>
              <w:t xml:space="preserve"> </w:t>
              <w:br/>
            </w:r>
            <w:r>
              <w:rPr>
                <w:spacing w:val="-3"/>
              </w:rPr>
              <w:t>Being</w:t>
            </w:r>
            <w:r>
              <w:rPr/>
              <w:t xml:space="preserve"> </w:t>
              <w:br/>
            </w:r>
            <w:r>
              <w:rPr>
                <w:spacing w:val="-3"/>
              </w:rPr>
              <w:t>Registered for</w:t>
            </w:r>
            <w:r>
              <w:rPr/>
              <w:t xml:space="preserve"> </w:t>
              <w:br/>
            </w:r>
            <w:r>
              <w:rPr>
                <w:spacing w:val="-3"/>
              </w:rPr>
              <w:t xml:space="preserve">Resale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6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After the Offering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3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Selling Stockholder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Shares of</w:t>
            </w:r>
            <w:r>
              <w:rPr/>
              <w:t xml:space="preserve"> </w:t>
              <w:br/>
            </w:r>
            <w:r>
              <w:rPr>
                <w:spacing w:val="-3"/>
              </w:rPr>
              <w:t>Common</w:t>
            </w:r>
            <w:r>
              <w:rPr/>
              <w:t xml:space="preserve"> </w:t>
              <w:br/>
            </w:r>
            <w:r>
              <w:rPr>
                <w:spacing w:val="-3"/>
              </w:rPr>
              <w:t>Stock</w:t>
            </w:r>
            <w:r>
              <w:rPr/>
              <w:t xml:space="preserve"> </w:t>
              <w:br/>
            </w:r>
            <w:r>
              <w:rPr>
                <w:spacing w:val="-3"/>
              </w:rPr>
              <w:t>Beneficially</w:t>
            </w:r>
            <w:r>
              <w:rPr/>
              <w:t xml:space="preserve"> </w:t>
              <w:br/>
            </w:r>
            <w:r>
              <w:rPr>
                <w:spacing w:val="-3"/>
              </w:rPr>
              <w:t xml:space="preserve">Owned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w:t>
            </w:r>
            <w:r>
              <w:rPr/>
              <w:t xml:space="preserve"> </w:t>
              <w:br/>
            </w:r>
            <w:r>
              <w:rPr>
                <w:spacing w:val="-3"/>
              </w:rPr>
              <w:t>Shares of</w:t>
            </w:r>
            <w:r>
              <w:rPr/>
              <w:t xml:space="preserve"> </w:t>
              <w:br/>
            </w:r>
            <w:r>
              <w:rPr>
                <w:spacing w:val="-3"/>
              </w:rPr>
              <w:t>Common</w:t>
            </w:r>
            <w:r>
              <w:rPr/>
              <w:t xml:space="preserve"> </w:t>
              <w:br/>
            </w:r>
            <w:r>
              <w:rPr>
                <w:spacing w:val="-3"/>
              </w:rPr>
              <w:t>Stock</w:t>
            </w:r>
            <w:r>
              <w:rPr/>
              <w:t xml:space="preserve"> </w:t>
              <w:br/>
            </w:r>
            <w:r>
              <w:rPr>
                <w:spacing w:val="-3"/>
              </w:rPr>
              <w:t xml:space="preserve">Outstanding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50"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Shares of</w:t>
            </w:r>
            <w:r>
              <w:rPr/>
              <w:t xml:space="preserve"> </w:t>
              <w:br/>
            </w:r>
            <w:r>
              <w:rPr>
                <w:spacing w:val="-3"/>
              </w:rPr>
              <w:t>Common</w:t>
            </w:r>
            <w:r>
              <w:rPr/>
              <w:t xml:space="preserve"> </w:t>
              <w:br/>
            </w:r>
            <w:r>
              <w:rPr>
                <w:spacing w:val="-3"/>
              </w:rPr>
              <w:t>Stock</w:t>
            </w:r>
            <w:r>
              <w:rPr/>
              <w:t xml:space="preserve"> </w:t>
              <w:br/>
            </w:r>
            <w:r>
              <w:rPr>
                <w:spacing w:val="-3"/>
              </w:rPr>
              <w:t>Beneficially</w:t>
            </w:r>
            <w:r>
              <w:rPr/>
              <w:t xml:space="preserve"> </w:t>
              <w:br/>
            </w:r>
            <w:r>
              <w:rPr>
                <w:spacing w:val="-3"/>
              </w:rPr>
              <w:t xml:space="preserve">Owned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w:t>
            </w:r>
            <w:r>
              <w:rPr/>
              <w:t xml:space="preserve"> </w:t>
              <w:br/>
            </w:r>
            <w:r>
              <w:rPr>
                <w:spacing w:val="-3"/>
              </w:rPr>
              <w:t>Shares of</w:t>
            </w:r>
            <w:r>
              <w:rPr/>
              <w:t xml:space="preserve"> </w:t>
              <w:br/>
            </w:r>
            <w:r>
              <w:rPr>
                <w:spacing w:val="-3"/>
              </w:rPr>
              <w:t>Common</w:t>
            </w:r>
            <w:r>
              <w:rPr/>
              <w:t xml:space="preserve"> </w:t>
              <w:br/>
            </w:r>
            <w:r>
              <w:rPr>
                <w:spacing w:val="-3"/>
              </w:rPr>
              <w:t>Stock</w:t>
            </w:r>
            <w:r>
              <w:rPr/>
              <w:t xml:space="preserve"> </w:t>
              <w:br/>
            </w:r>
            <w:r>
              <w:rPr>
                <w:spacing w:val="-3"/>
              </w:rPr>
              <w:t xml:space="preserve">Outstanding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31"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Heartland Bancorp, Inc. Voting </w:t>
            </w:r>
            <w:r>
              <w:rPr/>
              <w:br/>
            </w:r>
            <w:r>
              <w:rPr>
                <w:spacing w:val="4"/>
              </w:rPr>
              <w:t xml:space="preserve">Trust U/A/D 5/4/2016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17,210,400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759" w:type="dxa"/>
            <w:tcBorders/>
            <w:shd w:fill="CCEEFF" w:val="clear"/>
            <w:tcMar>
              <w:bottom w:w="0" w:type="dxa"/>
            </w:tcMar>
            <w:vAlign w:val="center"/>
          </w:tcPr>
          <w:p>
            <w:pPr>
              <w:pStyle w:val="TableContents"/>
              <w:bidi w:val="0"/>
              <w:spacing w:before="0" w:after="283"/>
              <w:jc w:val="right"/>
              <w:rPr/>
            </w:pPr>
            <w:r>
              <w:rPr/>
              <w:t>47.3%</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3" w:type="dxa"/>
            <w:tcBorders/>
            <w:shd w:fill="CCEEFF" w:val="clear"/>
            <w:tcMar>
              <w:bottom w:w="0" w:type="dxa"/>
            </w:tcMar>
            <w:vAlign w:val="center"/>
          </w:tcPr>
          <w:p>
            <w:pPr>
              <w:pStyle w:val="TableContents"/>
              <w:bidi w:val="0"/>
              <w:spacing w:before="0" w:after="283"/>
              <w:jc w:val="right"/>
              <w:rPr/>
            </w:pPr>
            <w:r>
              <w:rPr/>
              <w:t>—</w:t>
            </w:r>
          </w:p>
        </w:tc>
        <w:tc>
          <w:tcPr>
            <w:tcW w:w="19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stockholder may sell the securities covered by this prospectus from time to time at market prices prevailing at the time of sale, at prices related to such prevailing market prices at the time of sale, at negotiated prices or at fixed prices, which may change from time to time. We or the selling stockholder may sell the securities directly to one or more purchasers, through agents, to dealers, through underwriters, brokers or dealers, or through a combination of any of these sales methods or through any other method permitted by law (including in “at the market” equity offerings as defined in Rule 415 of the Securities Act). We reserve the right to accept or reject, in whole or in part, any proposed purchase of securities, whether the purchase is to be made directly or through agents.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that we or the selling stockholder use this prospectus to sell our securities, we will also provide a prospectus supplement, if required, that contains the specific terms of the offering, including: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the underwriters, dealers or agents, if any, and the types and amounts of securities underwritten or purchased by each of them; </w:t>
      </w:r>
      <w:r>
        <mc:AlternateContent>
          <mc:Choice Requires="wps">
            <w:drawing>
              <wp:anchor behindDoc="0" distT="7239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offering price of the securities and the proceeds we will receive from the sale;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over-allotment options under which underwriters may purchase additional securities from us; </w:t>
      </w:r>
      <w:r>
        <mc:AlternateContent>
          <mc:Choice Requires="wps">
            <w:drawing>
              <wp:anchor behindDoc="0" distT="7239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agency fees or underwriting discounts or other items constituting agents’ or underwriters’ compensation; </w:t>
      </w:r>
      <w:r>
        <mc:AlternateContent>
          <mc:Choice Requires="wps">
            <w:drawing>
              <wp:anchor behindDoc="0" distT="7239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commissions or concessions allowed or reallowed or paid to dealers; and </w:t>
      </w:r>
      <w:r>
        <mc:AlternateContent>
          <mc:Choice Requires="wps">
            <w:drawing>
              <wp:anchor behindDoc="0" distT="7239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or market on which the securities may be listed. </w:t>
      </w:r>
      <w:r>
        <mc:AlternateContent>
          <mc:Choice Requires="wps">
            <w:drawing>
              <wp:anchor behindDoc="0" distT="7239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underwriters that we have named in a prospectus supplement will be underwriters of the securities offered by that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or the selling stockholder may use underwriters with whom we have a material relationship. We will describe in the prospectus supplement, naming the underwriter, the nature of any such relationship.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stockholder may sell securities directly or through agents we or the selling stockholder designate from time to time. We will name any agent involved in the offering and sale of securities and we will describe any commissions we or the selling stockholder will pay the agent in the prospectus supplement. Unless the prospectus supplement states otherwise, our agent will act on a best-efforts basis for the period of its appointment.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stockholder may authorize agents or underwriters to solicit offers by certain types of institutional investors to purchase securities from us or the selling stockholder at the public offering price set forth in the prospectus supplement pursuant to delayed delivery contracts providing for payment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LEMA"/>
      <w:bookmarkEnd w:id="18"/>
      <w:r>
        <w:rPr>
          <w:rFonts w:ascii="calibri;arial;sans-serif" w:hAnsi="calibri;arial;sans-serif"/>
          <w:b w:val="false"/>
          <w:i w:val="false"/>
          <w:caps w:val="false"/>
          <w:smallCaps w:val="false"/>
          <w:color w:val="000000"/>
          <w:sz w:val="16"/>
        </w:rPr>
        <w:t>​</w:t>
      </w:r>
      <w:bookmarkStart w:id="19" w:name="tEXP"/>
      <w:bookmarkEnd w:id="19"/>
      <w:r>
        <w:rPr>
          <w:rFonts w:ascii="calibri;arial;sans-serif" w:hAnsi="calibri;arial;sans-serif"/>
          <w:b w:val="false"/>
          <w:i w:val="false"/>
          <w:caps w:val="false"/>
          <w:smallCaps w:val="false"/>
          <w:color w:val="000000"/>
          <w:sz w:val="16"/>
        </w:rPr>
        <w:t>​</w:t>
      </w:r>
      <w:bookmarkStart w:id="20" w:name="tWY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delivery on a specified date in the future. We will describe the conditions to these contracts and the commissions we or the selling stockholder must pay for solicitation of these contracts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the selling stockholder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or the selling stockholder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securities we may offer, other than common stock or other outstanding securities,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laws of some states, to the extent applicable, the securities may be sold in such states only through registered or licensed brokers or dealers. In addition, if our common stock is no longer listed on the Nasdaq Global Select Market or another national securities exchange, in some states the securities may not be sold unless such securities have been registered or qualified for sale in such state or an exemption from registration or qualification is available and is complied with.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any offering of securities made by this prospectus will be passed upon for us by our counsel, Barack Ferrazzano Kirschbaum &amp; Nagelberg LLP of Chicago, Illinois. If the securities are being distributed in an underwritten offering, certain legal matters will be passed upon for the underwriters by counsel identified in the related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HBT Financial, Inc. as of December 31, 2025 and 2024 and for each of the years in the three-year period ended December 31, 2025 and the effectiveness of internal control over financial reporting as of December 31, 2025 incorporated in this Registration Statement by reference from the HBT Financial, Inc. </w:t>
      </w:r>
      <w:hyperlink r:id="rId5">
        <w:r>
          <w:rPr>
            <w:rStyle w:val="InternetLink"/>
          </w:rPr>
          <w:t xml:space="preserve">Annual Report on Form 10-K for the year ended December 31, </w:t>
        </w:r>
      </w:hyperlink>
      <w:hyperlink r:id="rId6">
        <w:r>
          <w:rPr>
            <w:rStyle w:val="InternetLink"/>
          </w:rPr>
          <w:t>2025</w:t>
        </w:r>
      </w:hyperlink>
      <w:r>
        <w:rPr>
          <w:rFonts w:ascii="Times New Roman;Times;serif" w:hAnsi="Times New Roman;Times;serif"/>
          <w:b w:val="false"/>
          <w:i w:val="false"/>
          <w:caps w:val="false"/>
          <w:smallCaps w:val="false"/>
          <w:color w:val="000000"/>
          <w:spacing w:val="4"/>
          <w:sz w:val="20"/>
        </w:rPr>
        <w:t xml:space="preserve"> have been audited by RSM US LLP, an independent registered public accounting firm, as stated in their reports thereon, incorporated herein by reference, and have been incorporated in this Registration Statement in reliance upon such reports and upon the authority of such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and file with the SEC proxy statements, Annual Reports on Form 10-K, Quarterly Reports on Form 10-Q and Current Reports on Form 8-K, as required of a U.S. listed company. Our SEC filings are available to the public from the SEC’s web site at www.sec.gov or on our website at https://ir.hbtfinancial.com. However, other than our available SEC filings, the information on, or that can be accessible through, our website does not constitute a part of, and is not incorporated by reference in, this prospectus. Written requests for copies of the documents we file with the SEC should be directed to HBT Financial, Inc., 401 North Hershey Road, Bloomington, Illinois 61704, Attention: Secretary, telephone: (888) 897-2276.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IOCI"/>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filed by us with the SEC under the Securities Act. As permitted by the SEC, this prospectus does not contain all the information in the registration statement filed with the SEC. For a more complete understanding of this offering, you should refer to the complete registration statement, including exhibits, on Form S-3 that may be obtained as described above. Statements contained in this prospectus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contract or other document or matter involved. Each statement regarding a contract or other document is qualified in its entirety by reference to the actual contract or other document.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the information that we file with it into this prospectus, which means that we can disclose important information to you by referring you to other documents. The information incorporated by reference is an important part of this prospectus. We incorporate by reference the following documents and any future filings made with the SEC under Sections 13(a), 13(c), 14 or 15(d) of the Exchange Act after the date of this prospectus and prior to the termination of this offering, as well as any filings after the date of this registration statement of which this prospectus forms a part and prior to the effectiveness of such registration statement, but excluding, in each case, information “furnished” rather than “filed” and information that is modified or superseded by subsequently filed documents prior to the termination of this offering: </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7">
        <w:r>
          <w:rPr>
            <w:rStyle w:val="InternetLink"/>
          </w:rPr>
          <w:t>our Annual Report on Form 10-K for the year ended December 31, 2025, filed with the SEC on March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8">
        <w:r>
          <w:rPr>
            <w:rStyle w:val="InternetLink"/>
          </w:rPr>
          <w:t>our Quarterly Report on Form 10-Q for the quarter ended March 31, 2026, filed with the SEC on May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9">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February 2,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March 2,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March 11, 2026</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March 25,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April 29,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the Company’s common stock contained in the Registration Statement on </w:t>
      </w:r>
      <w:hyperlink r:id="rId16">
        <w:r>
          <w:rPr>
            <w:rStyle w:val="InternetLink"/>
          </w:rPr>
          <w:t>Form 8-A filed with the SEC on October 10, 2019 (File No. 001-39085)</w:t>
        </w:r>
      </w:hyperlink>
      <w:r>
        <w:rPr>
          <w:rFonts w:ascii="Times New Roman;Times;serif" w:hAnsi="Times New Roman;Times;serif"/>
          <w:b w:val="false"/>
          <w:i w:val="false"/>
          <w:caps w:val="false"/>
          <w:smallCaps w:val="false"/>
          <w:color w:val="000000"/>
          <w:spacing w:val="4"/>
          <w:sz w:val="20"/>
        </w:rPr>
        <w:t xml:space="preserve">, and in </w:t>
      </w:r>
      <w:hyperlink r:id="rId17">
        <w:r>
          <w:rPr>
            <w:rStyle w:val="InternetLink"/>
          </w:rPr>
          <w:t>Exhibit 4.2</w:t>
        </w:r>
      </w:hyperlink>
      <w:r>
        <w:rPr>
          <w:rFonts w:ascii="Times New Roman;Times;serif" w:hAnsi="Times New Roman;Times;serif"/>
          <w:b w:val="false"/>
          <w:i w:val="false"/>
          <w:caps w:val="false"/>
          <w:smallCaps w:val="false"/>
          <w:color w:val="000000"/>
          <w:spacing w:val="4"/>
          <w:sz w:val="20"/>
        </w:rPr>
        <w:t xml:space="preserve"> of our Annual Report on Form 10-K for the year ended December 31, 2019, as filed with the SEC on March 27, 2020, including any amendment or report filed for the purpose of updating such description.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this prospectus or in a document incorporated or deemed to be incorporated by reference into this prospectus shall be deemed to be modified or superseded for purposes of this prospectus to the extent that a statement contained in any subsequently filed document which also is, or is deemed to be, incorporated by reference in this prospectus modifies or supersedes such statement. Any such statement so modified or superseded shall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without charge, upon written or oral request, a copy of any or all of the documents that are incorporated by reference into this prospectus and a copy of any or all other contracts or documents which are referred to in this prospectus. Requests should be directed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HBT Financial,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401 North Hershey Road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Bloomington, Illinois 61704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Telephone number: (888) 897-2276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estimated expenses to be incurred in connection with the issuance and distribution of the securities being registered, other than underwriting discounts and commissions. We will pay all of these expenses. </w:t>
      </w:r>
    </w:p>
    <w:tbl>
      <w:tblPr>
        <w:tblW w:w="5226" w:type="dxa"/>
        <w:jc w:val="left"/>
        <w:tblInd w:w="1393" w:type="dxa"/>
        <w:tblLayout w:type="fixed"/>
        <w:tblCellMar>
          <w:top w:w="0" w:type="dxa"/>
          <w:left w:w="0" w:type="dxa"/>
          <w:bottom w:w="0" w:type="dxa"/>
          <w:right w:w="0" w:type="dxa"/>
        </w:tblCellMar>
      </w:tblPr>
      <w:tblGrid>
        <w:gridCol w:w="124"/>
        <w:gridCol w:w="3220"/>
        <w:gridCol w:w="109"/>
        <w:gridCol w:w="109"/>
        <w:gridCol w:w="109"/>
        <w:gridCol w:w="226"/>
        <w:gridCol w:w="106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10,930.62</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jc w:val="left"/>
              <w:rPr>
                <w:spacing w:val="4"/>
              </w:rPr>
            </w:pPr>
            <w:r>
              <w:rPr>
                <w:spacing w:val="4"/>
              </w:rPr>
              <w:t xml:space="preserve">Trustee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Printing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jc w:val="left"/>
              <w:rPr>
                <w:spacing w:val="4"/>
              </w:rPr>
            </w:pPr>
            <w:r>
              <w:rPr>
                <w:spacing w:val="4"/>
              </w:rPr>
              <w:t xml:space="preserve">Rating Agency Fees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220"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6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jc w:val="left"/>
              <w:rPr>
                <w:spacing w:val="4"/>
              </w:rPr>
            </w:pPr>
            <w:r>
              <w:rPr>
                <w:spacing w:val="4"/>
              </w:rPr>
              <w:t xml:space="preserve">Accounting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22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220" w:type="dxa"/>
            <w:tcBorders/>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not presently known and cannot be estimated at this time, as they will be based upon, among other things, the amount and type of security being offered as well as the number of offerings. </w:t>
      </w:r>
      <w:r>
        <mc:AlternateContent>
          <mc:Choice Requires="wps">
            <w:drawing>
              <wp:anchor behindDoc="0" distT="10414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Delaware Law.</w:t>
      </w:r>
      <w:r>
        <w:rPr>
          <w:rFonts w:ascii="Times New Roman;Times;serif" w:hAnsi="Times New Roman;Times;serif"/>
          <w:b w:val="false"/>
          <w:i w:val="false"/>
          <w:caps w:val="false"/>
          <w:smallCaps w:val="false"/>
          <w:color w:val="000000"/>
          <w:spacing w:val="4"/>
          <w:sz w:val="20"/>
        </w:rPr>
        <w:t xml:space="preserve">   The Company is incorporated under the laws of the State of Delaware. 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Certificate of Incorporation provides for this limitation of liability.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Where an officer or director is successful on the merits or otherwise in the defense of any action referred to above, the corporation must indemnify him against the expenses which such officer or director has actually and reasonably incurred. 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 Each of the directors and officers of the Company are covered by insurance policies maintained and held in effect by the Company against certain liabilities for actions taken in such capacities, including liabilities under the Securities Act of 1933, as amended.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   </w:t>
      </w:r>
      <w:r>
        <w:rPr>
          <w:rFonts w:ascii="Times New Roman;Times;serif" w:hAnsi="Times New Roman;Times;serif"/>
          <w:b w:val="false"/>
          <w:i w:val="false"/>
          <w:caps w:val="false"/>
          <w:smallCaps w:val="false"/>
          <w:color w:val="000000"/>
          <w:spacing w:val="4"/>
          <w:sz w:val="20"/>
        </w:rPr>
        <w:t xml:space="preserve"> Article Ninth of the Certificate of Incorporation provides that, no director of the Company shall be liable to the Company or its stockholders for monetary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arising from a breach of such director’s fiduciary duty as a director owed to the Company or its stockholders, except to the extent that such exemption from liability or limitation thereof is not permitted under the DGCL.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VI of the Bylaws provides that, to the extent permitted by the DGCL, the Company shall indemnify any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Company or is or was serving at the request of the corporation as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reasonably believed to be in or not opposed to the best interests of the Company, and, with respect to any criminal action or proceeding, had no reasonable cause to believe his or her conduct was unlawful. Under the DGCL,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Company, and with respect to any criminal action or proceeding, had reasonable cause to believe that his or her conduct was unlawful and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To the extent that a director, officer, employee or agent of the Company has been successful on the merits or otherwise in defense of any action, suit or proceeding referred to above, or in defense of any claim, issue or matter therein, he or she shall be indemnified against expenses (including attorneys’ fees) actually and reasonably incurred by him or her in connection therewith. Any indemnification (unless ordered by a court) shall be made by the Company only upon a determination in the specific case that indemnification of the director, officer, employee or agent is proper in the circumstances because he or she has met the applicable standard of conduct set forth above. Such determination shall be made (a) by the Board of Directors by a majority vote of a quorum consisting of directors who were not parties to such action, suit or proceedings, (b) by a committee of such directors designated by a majority vote of such directors, even though less than a quorum, (c) if such quorum is not obtainable, or, even if obtainable and a quorum of disinterested directors so directs, by independent legal counsel (compensated by the Company) in a written opinion, or (d) by the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description of the Company’s Certificate of Incorporation and Bylaws is qualified in its entirety by reference to each such document, which are listed as Exhibits 3.1 and 3.2 respectively, 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Liability Insurance.</w:t>
      </w:r>
      <w:r>
        <w:rPr>
          <w:rFonts w:ascii="Times New Roman;Times;serif" w:hAnsi="Times New Roman;Times;serif"/>
          <w:b w:val="false"/>
          <w:i w:val="false"/>
          <w:caps w:val="false"/>
          <w:smallCaps w:val="false"/>
          <w:color w:val="000000"/>
          <w:spacing w:val="4"/>
          <w:sz w:val="20"/>
        </w:rPr>
        <w:t xml:space="preserve">   The Company maintains directors’ and officers’ liability insurance which covers certain liabilities and expenses of its directors and officers and covers it for reimbursement of payments to our directors and officers in respect of such liabilities and expenses, in each case subject to certain limits and exceptions.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928"/>
        <w:gridCol w:w="109"/>
        <w:gridCol w:w="109"/>
        <w:gridCol w:w="738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28"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87"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of Exhibits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Placement Agent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pPr>
            <w:hyperlink r:id="rId18">
              <w:r>
                <w:rPr>
                  <w:rStyle w:val="InternetLink"/>
                </w:rPr>
                <w:t>Restated Certificate of Incorporation of HBT Financial, Inc. (incorporated by reference to Exhibit 4.1 to the Company’s Registration Statement on Form S-8, filed with the SEC on October 30,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pPr>
            <w:hyperlink r:id="rId19">
              <w:r>
                <w:rPr>
                  <w:rStyle w:val="InternetLink"/>
                </w:rPr>
                <w:t>Amended and Restated By-laws of HBT Financial, Inc. (incorporated by reference to Exhibit 4.2 to the Company’s Registration Statement on Form S-8, filed with the SEC on October 30,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0"/>
              <w:jc w:val="left"/>
              <w:rPr/>
            </w:pPr>
            <w:hyperlink r:id="rId20">
              <w:r>
                <w:rPr>
                  <w:rStyle w:val="InternetLink"/>
                  <w:spacing w:val="4"/>
                </w:rPr>
                <w:t>Specimen Common Stock Certificate (incorporated by reference to Exhibit 4.1 to the Company’s Registration Statement on Form S-1/A, filed with the SEC on October 1,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pPr>
            <w:hyperlink r:id="rId21">
              <w:r>
                <w:rPr>
                  <w:rStyle w:val="InternetLink"/>
                </w:rPr>
                <w:t>Description of the Company’s Securities Registered Pursuant to Section 12 of the Securities Exchange Act of 1934 (incorporated herein by reference to Exhibit 4.2 to the Company’s Annual Report on Form 10-K, filed with the SEC on March 27, 2020).</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Certificate of Designations of Preferred Stock.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Preferred Stock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Warrant and Warrant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0"/>
              <w:jc w:val="left"/>
              <w:rPr/>
            </w:pPr>
            <w:hyperlink r:id="rId22">
              <w:r>
                <w:rPr>
                  <w:rStyle w:val="InternetLink"/>
                  <w:spacing w:val="4"/>
                </w:rPr>
                <w:t>Form of Indenture (incorporated herein by reference to Exhibit 4.6 to the Company’s Registration Statement on Form S-3, filed with the SEC on March 10,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Senior Debt Security.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Subordinated Debt Security.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Purchase Contract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Depositary Agreement and Depositary Receipt.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Subscription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Subscription Agent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spacing w:val="4"/>
              </w:rPr>
            </w:pPr>
            <w:r>
              <w:rPr>
                <w:spacing w:val="4"/>
              </w:rPr>
              <w:t xml:space="preserve">4.13*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Form of Unit Agreement and Unit Certificate.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2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0"/>
              <w:jc w:val="left"/>
              <w:rPr/>
            </w:pPr>
            <w:hyperlink r:id="rId23">
              <w:r>
                <w:rPr>
                  <w:rStyle w:val="InternetLink"/>
                  <w:spacing w:val="4"/>
                </w:rPr>
                <w:t>Opinion of Barack Ferrazzano Kirschbaum &amp; Nagelberg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0"/>
              <w:jc w:val="left"/>
              <w:rPr/>
            </w:pPr>
            <w:hyperlink w:anchor="tm2613736d1_ex23-1.htm">
              <w:r>
                <w:rPr>
                  <w:rStyle w:val="InternetLink"/>
                  <w:spacing w:val="4"/>
                </w:rPr>
                <w:t>Consent of RSM US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100" w:right="0" w:hanging="0"/>
              <w:jc w:val="left"/>
              <w:rPr/>
            </w:pPr>
            <w:r>
              <w:rPr>
                <w:spacing w:val="4"/>
              </w:rPr>
              <w:t>23.2***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0"/>
              <w:jc w:val="left"/>
              <w:rPr/>
            </w:pPr>
            <w:hyperlink r:id="rId24">
              <w:r>
                <w:rPr>
                  <w:rStyle w:val="InternetLink"/>
                  <w:spacing w:val="4"/>
                </w:rPr>
                <w:t>Consent of Barack Ferrazzano Kirschbaum &amp; Nagelberg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100" w:right="0" w:hanging="0"/>
              <w:jc w:val="left"/>
              <w:rPr/>
            </w:pPr>
            <w:r>
              <w:rPr>
                <w:spacing w:val="4"/>
              </w:rPr>
              <w:t>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"https://www.sec.gov/Archives/edgar/data/775215/000110465926018177/tm266784-1_s3.htm" \l "tPOA"</w:instrText>
            </w:r>
            <w:r>
              <w:rPr>
                <w:rStyle w:val="InternetLink"/>
                <w:spacing w:val="4"/>
              </w:rPr>
              <w:fldChar w:fldCharType="separate"/>
            </w:r>
            <w:r>
              <w:rPr>
                <w:rStyle w:val="InternetLink"/>
                <w:spacing w:val="4"/>
              </w:rPr>
              <w:t>Power of Attorney.</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ind w:left="100" w:right="0" w:hanging="0"/>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283"/>
              <w:jc w:val="left"/>
              <w:rPr>
                <w:spacing w:val="4"/>
              </w:rPr>
            </w:pPr>
            <w:r>
              <w:rPr>
                <w:spacing w:val="4"/>
              </w:rPr>
              <w:t xml:space="preserve">Statement of Eligibility of Trustee on Form T-1 for the Senior Indenture and Subordinated Indenture.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928" w:type="dxa"/>
            <w:tcBorders/>
            <w:tcMar>
              <w:bottom w:w="0" w:type="dxa"/>
            </w:tcMar>
            <w:vAlign w:val="center"/>
          </w:tcPr>
          <w:p>
            <w:pPr>
              <w:pStyle w:val="TableContents"/>
              <w:bidi w:val="0"/>
              <w:spacing w:before="0" w:after="283"/>
              <w:jc w:val="left"/>
              <w:rPr/>
            </w:pPr>
            <w:r>
              <w:rPr>
                <w:spacing w:val="4"/>
              </w:rPr>
              <w:t>107.1***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387" w:type="dxa"/>
            <w:tcBorders/>
            <w:tcMar>
              <w:bottom w:w="0" w:type="dxa"/>
            </w:tcMar>
            <w:vAlign w:val="center"/>
          </w:tcPr>
          <w:p>
            <w:pPr>
              <w:pStyle w:val="TableContents"/>
              <w:bidi w:val="0"/>
              <w:spacing w:before="0" w:after="0"/>
              <w:jc w:val="left"/>
              <w:rPr/>
            </w:pPr>
            <w:hyperlink r:id="rId25">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either by amendment or as an exhibit to a report filed under the Exchange Act, and incorporated herein by reference. </w:t>
      </w:r>
      <w:r>
        <mc:AlternateContent>
          <mc:Choice Requires="wps">
            <w:drawing>
              <wp:anchor behindDoc="0" distT="8382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separately under the electronic form type “305B2” pursuant to Section 305(b)(2) of the Trust Indenture Act of 1939, as amended, if applicable. </w:t>
      </w:r>
      <w:r>
        <mc:AlternateContent>
          <mc:Choice Requires="wps">
            <w:drawing>
              <wp:anchor behindDoc="0" distT="3302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filed. </w:t>
      </w:r>
      <w:r>
        <mc:AlternateContent>
          <mc:Choice Requires="wps">
            <w:drawing>
              <wp:anchor behindDoc="0" distT="33020" distB="0" distL="0" distR="0" simplePos="0" locked="0" layoutInCell="1" allowOverlap="1" relativeHeight="148">
                <wp:simplePos x="0" y="0"/>
                <wp:positionH relativeFrom="column">
                  <wp:align>left</wp:align>
                </wp:positionH>
                <wp:positionV relativeFrom="line">
                  <wp:align>top</wp:align>
                </wp:positionV>
                <wp:extent cx="254000" cy="525780"/>
                <wp:effectExtent l="0" t="0" r="0" b="0"/>
                <wp:wrapSquare wrapText="right"/>
                <wp:docPr id="147" name="Frame14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1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5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9525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5pt;mso-wrap-distance-bottom:0pt;margin-top:7.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95250" distB="0" distL="508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5pt;mso-wrap-distance-bottom:0pt;margin-top:7.5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 </w:t>
      </w:r>
      <w:r>
        <mc:AlternateContent>
          <mc:Choice Requires="wps">
            <w:drawing>
              <wp:anchor behindDoc="0" distT="0" distB="0" distL="508000" distR="0" simplePos="0" locked="0" layoutInCell="1" allowOverlap="1" relativeHeight="151">
                <wp:simplePos x="0" y="0"/>
                <wp:positionH relativeFrom="column">
                  <wp:align>left</wp:align>
                </wp:positionH>
                <wp:positionV relativeFrom="line">
                  <wp:posOffset>635</wp:posOffset>
                </wp:positionV>
                <wp:extent cx="254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this registration statement or any material change to such information in this registration statement; </w:t>
      </w:r>
      <w:r>
        <mc:AlternateContent>
          <mc:Choice Requires="wps">
            <w:drawing>
              <wp:anchor behindDoc="0" distT="102870" distB="0" distL="508000" distR="0" simplePos="0" locked="0" layoutInCell="1" allowOverlap="1" relativeHeight="152">
                <wp:simplePos x="0" y="0"/>
                <wp:positionH relativeFrom="column">
                  <wp:align>left</wp:align>
                </wp:positionH>
                <wp:positionV relativeFrom="line">
                  <wp:align>top</wp:align>
                </wp:positionV>
                <wp:extent cx="254000" cy="525780"/>
                <wp:effectExtent l="0" t="0" r="0" b="0"/>
                <wp:wrapSquare wrapText="right"/>
                <wp:docPr id="151" name="Frame15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provided, however, that paragraphs (1)(i), (1)(ii) and (1)(iii)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10160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101600"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01600" distB="0" distL="50800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Company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1600" distB="0" distL="50800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w:t>
      </w:r>
      <w:r>
        <mc:AlternateContent>
          <mc:Choice Requires="wps">
            <w:drawing>
              <wp:anchor behindDoc="0" distT="101600" distB="0" distL="25400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undersigned registrant will be a seller to the purchaser and will be considered to offer or sell such securities to such purchaser: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101600" distB="0" distL="50800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101600" distB="0" distL="50800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101600" distB="0" distL="508000" distR="0" simplePos="0" locked="0" layoutInCell="1" allowOverlap="1" relativeHeight="161">
                <wp:simplePos x="0" y="0"/>
                <wp:positionH relativeFrom="column">
                  <wp:align>left</wp:align>
                </wp:positionH>
                <wp:positionV relativeFrom="line">
                  <wp:align>top</wp:align>
                </wp:positionV>
                <wp:extent cx="254000" cy="525780"/>
                <wp:effectExtent l="0" t="0" r="0" b="0"/>
                <wp:wrapSquare wrapText="right"/>
                <wp:docPr id="160" name="Frame15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101600" distB="0" distL="508000" distR="0" simplePos="0" locked="0" layoutInCell="1" allowOverlap="1" relativeHeight="162">
                <wp:simplePos x="0" y="0"/>
                <wp:positionH relativeFrom="column">
                  <wp:align>left</wp:align>
                </wp:positionH>
                <wp:positionV relativeFrom="line">
                  <wp:align>top</wp:align>
                </wp:positionV>
                <wp:extent cx="254000" cy="525780"/>
                <wp:effectExtent l="0" t="0" r="0" b="0"/>
                <wp:wrapSquare wrapText="right"/>
                <wp:docPr id="161" name="Frame16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10160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an application for the purpose of determining the eligibility of the trustee to act under subsection (a) of Section 310 of the Trust Indenture Act of 1939 in accordance with the rules and regulations prescribed by the SEC under Section 305(b)(2) of the Trust Indenture Act of 1939. </w:t>
      </w:r>
      <w:r>
        <mc:AlternateContent>
          <mc:Choice Requires="wps">
            <w:drawing>
              <wp:anchor behindDoc="0" distT="10160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the registrant pursuant to the foregoing provisions, or otherwise, the registrant has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Bloomington, State of Illinois, on May 13,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HBT FINANCIAL,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 Lance Carter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28600" distB="0" distL="0" distR="0" simplePos="0" locked="0" layoutInCell="1" allowOverlap="1" relativeHeight="165">
                <wp:simplePos x="0" y="0"/>
                <wp:positionH relativeFrom="column">
                  <wp:align>left</wp:align>
                </wp:positionH>
                <wp:positionV relativeFrom="line">
                  <wp:align>top</wp:align>
                </wp:positionV>
                <wp:extent cx="254000" cy="525780"/>
                <wp:effectExtent l="0" t="0" r="0" b="0"/>
                <wp:wrapSquare wrapText="right"/>
                <wp:docPr id="164" name="Frame16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8pt;mso-wrap-distance-bottom:0pt;margin-top:1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24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Lance Carter </w:t>
      </w:r>
      <w:r>
        <mc:AlternateContent>
          <mc:Choice Requires="wps">
            <w:drawing>
              <wp:anchor behindDoc="0" distT="25400" distB="0" distL="254000" distR="0" simplePos="0" locked="0" layoutInCell="1" allowOverlap="1" relativeHeight="166">
                <wp:simplePos x="0" y="0"/>
                <wp:positionH relativeFrom="column">
                  <wp:align>left</wp:align>
                </wp:positionH>
                <wp:positionV relativeFrom="line">
                  <wp:align>top</wp:align>
                </wp:positionV>
                <wp:extent cx="419100" cy="525780"/>
                <wp:effectExtent l="0" t="0" r="0" b="0"/>
                <wp:wrapSquare wrapText="right"/>
                <wp:docPr id="165" name="Frame164"/>
                <a:graphic xmlns:a="http://schemas.openxmlformats.org/drawingml/2006/main">
                  <a:graphicData uri="http://schemas.microsoft.com/office/word/2010/wordprocessingShape">
                    <wps:wsp>
                      <wps:cNvSpPr txBox="1"/>
                      <wps:spPr>
                        <a:xfrm>
                          <a:off x="0" y="0"/>
                          <a:ext cx="4191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3pt;height:41.4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24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254000" distR="0" simplePos="0" locked="0" layoutInCell="1" allowOverlap="1" relativeHeight="167">
                <wp:simplePos x="0" y="0"/>
                <wp:positionH relativeFrom="column">
                  <wp:align>left</wp:align>
                </wp:positionH>
                <wp:positionV relativeFrom="line">
                  <wp:posOffset>635</wp:posOffset>
                </wp:positionV>
                <wp:extent cx="4191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4191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3pt;height:27.6pt;mso-wrap-distance-left:20pt;mso-wrap-distance-right:0pt;mso-wrap-distance-top:0pt;mso-wrap-distance-bottom:0pt;margin-top:0pt;mso-position-vertical:top;mso-position-vertical-relative:text;margin-left:73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this registration statement has been signed below by the following persons in the capacities indicated on May 13, 2026. </w:t>
      </w:r>
    </w:p>
    <w:tbl>
      <w:tblPr>
        <w:tblW w:w="8679" w:type="dxa"/>
        <w:jc w:val="left"/>
        <w:tblInd w:w="1393" w:type="dxa"/>
        <w:tblLayout w:type="fixed"/>
        <w:tblCellMar>
          <w:top w:w="0" w:type="dxa"/>
          <w:left w:w="0" w:type="dxa"/>
          <w:bottom w:w="28" w:type="dxa"/>
          <w:right w:w="0" w:type="dxa"/>
        </w:tblCellMar>
      </w:tblPr>
      <w:tblGrid>
        <w:gridCol w:w="124"/>
        <w:gridCol w:w="1956"/>
        <w:gridCol w:w="109"/>
        <w:gridCol w:w="109"/>
        <w:gridCol w:w="6227"/>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5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22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bottom w:w="0" w:type="dxa"/>
            </w:tcMar>
            <w:vAlign w:val="center"/>
          </w:tcPr>
          <w:p>
            <w:pPr>
              <w:pStyle w:val="TableContents"/>
              <w:bidi w:val="0"/>
              <w:spacing w:before="0" w:after="0"/>
              <w:jc w:val="center"/>
              <w:rPr/>
            </w:pPr>
            <w:r>
              <w:rPr>
                <w:spacing w:val="4"/>
              </w:rPr>
              <w:t>/s/ J. Lance Carter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 Lance Carter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bottom w:w="0" w:type="dxa"/>
            </w:tcMar>
            <w:vAlign w:val="center"/>
          </w:tcPr>
          <w:p>
            <w:pPr>
              <w:pStyle w:val="TableContents"/>
              <w:bidi w:val="0"/>
              <w:spacing w:before="0" w:after="0"/>
              <w:jc w:val="center"/>
              <w:rPr/>
            </w:pPr>
            <w:r>
              <w:rPr>
                <w:spacing w:val="4"/>
              </w:rPr>
              <w:t>President, Chief Executive Officer and Director</w:t>
            </w:r>
            <w:r>
              <w:rPr/>
              <w:t xml:space="preserve"> </w:t>
              <w:br/>
            </w:r>
            <w:r>
              <w:rPr>
                <w:spacing w:val="4"/>
              </w:rPr>
              <w:t xml:space="preserve">(Principal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Peter Chapman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pPr>
            <w:r>
              <w:rPr>
                <w:spacing w:val="4"/>
              </w:rPr>
              <w:t xml:space="preserve">Executive Vice President and Chief Financial Officer </w:t>
            </w:r>
            <w:r>
              <w:rPr/>
              <w:br/>
            </w:r>
            <w:r>
              <w:rPr>
                <w:spacing w:val="4"/>
              </w:rPr>
              <w:t xml:space="preserve">(Principal Financial Officer and Principal Accounting Officer)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Fred L. Drake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Executive Chairman and 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Roger A. Baker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C. Alvin Bowman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Eric E. Burwell</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Patrick F. Busch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Allen C. Drake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Linda J. Koch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56" w:type="dxa"/>
            <w:tcBorders/>
            <w:tcMar>
              <w:top w:w="28" w:type="dxa"/>
              <w:left w:w="28" w:type="dxa"/>
              <w:right w:w="28"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Gerald E. Pfeiffer</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27"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4191" w:type="dxa"/>
        <w:jc w:val="left"/>
        <w:tblInd w:w="1393" w:type="dxa"/>
        <w:tblLayout w:type="fixed"/>
        <w:tblCellMar>
          <w:top w:w="0" w:type="dxa"/>
          <w:left w:w="0" w:type="dxa"/>
          <w:bottom w:w="28" w:type="dxa"/>
          <w:right w:w="0" w:type="dxa"/>
        </w:tblCellMar>
      </w:tblPr>
      <w:tblGrid>
        <w:gridCol w:w="124"/>
        <w:gridCol w:w="579"/>
        <w:gridCol w:w="109"/>
        <w:gridCol w:w="109"/>
        <w:gridCol w:w="1924"/>
        <w:gridCol w:w="109"/>
        <w:gridCol w:w="109"/>
        <w:gridCol w:w="974"/>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7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1" w:type="dxa"/>
            <w:gridSpan w:val="4"/>
            <w:tcBorders/>
            <w:tcMar>
              <w:bottom w:w="0" w:type="dxa"/>
            </w:tcMar>
            <w:vAlign w:val="center"/>
          </w:tcPr>
          <w:p>
            <w:pPr>
              <w:pStyle w:val="TableContents"/>
              <w:bidi w:val="0"/>
              <w:spacing w:before="0" w:after="0"/>
              <w:jc w:val="center"/>
              <w:rPr/>
            </w:pPr>
            <w:r>
              <w:rPr>
                <w:spacing w:val="4"/>
              </w:rPr>
              <w:t>/s/ Nancy L. Ruyle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Nancy L. Ruyle</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1" w:type="dxa"/>
            <w:gridSpan w:val="4"/>
            <w:tcBorders/>
            <w:tcMar>
              <w:bottom w:w="0" w:type="dxa"/>
            </w:tcMar>
            <w:vAlign w:val="center"/>
          </w:tcPr>
          <w:p>
            <w:pPr>
              <w:pStyle w:val="TableContents"/>
              <w:bidi w:val="0"/>
              <w:spacing w:before="0" w:after="0"/>
              <w:jc w:val="center"/>
              <w:rPr/>
            </w:pPr>
            <w:r>
              <w:rPr>
                <w:spacing w:val="4"/>
              </w:rPr>
              <w:t>/s/ James T. Ashworth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James T. Ashworth</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721" w:type="dxa"/>
            <w:gridSpan w:val="4"/>
            <w:tcBorders/>
            <w:tcMar>
              <w:bottom w:w="0" w:type="dxa"/>
            </w:tcMar>
            <w:vAlign w:val="center"/>
          </w:tcPr>
          <w:p>
            <w:pPr>
              <w:pStyle w:val="TableContents"/>
              <w:bidi w:val="0"/>
              <w:spacing w:before="0" w:after="0"/>
              <w:jc w:val="center"/>
              <w:rPr/>
            </w:pPr>
            <w:r>
              <w:rPr>
                <w:spacing w:val="4"/>
              </w:rPr>
              <w:t>/s/ Michael J. Morton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Michael J. Morton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pPr>
            <w:r>
              <w:rPr>
                <w:spacing w:val="4"/>
              </w:rPr>
              <w:t>Director</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579" w:type="dxa"/>
            <w:tcBorders/>
            <w:tcMar>
              <w:bottom w:w="0" w:type="dxa"/>
            </w:tcMar>
            <w:vAlign w:val="center"/>
          </w:tcPr>
          <w:p>
            <w:pPr>
              <w:pStyle w:val="TableContents"/>
              <w:bidi w:val="0"/>
              <w:spacing w:before="0" w:after="0"/>
              <w:jc w:val="both"/>
              <w:rPr/>
            </w:pPr>
            <w:r>
              <w:rPr>
                <w:spacing w:val="4"/>
              </w:rPr>
              <w:t>*By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4" w:type="dxa"/>
            <w:tcBorders/>
            <w:tcMar>
              <w:bottom w:w="0" w:type="dxa"/>
            </w:tcMar>
            <w:vAlign w:val="center"/>
          </w:tcPr>
          <w:p>
            <w:pPr>
              <w:pStyle w:val="TableContents"/>
              <w:bidi w:val="0"/>
              <w:spacing w:before="0" w:after="0"/>
              <w:jc w:val="center"/>
              <w:rPr/>
            </w:pPr>
            <w:r>
              <w:rPr>
                <w:spacing w:val="4"/>
              </w:rPr>
              <w:t>/s/ J. Lance Carter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b/>
              </w:rPr>
            </w:pPr>
            <w:r>
              <w:rPr>
                <w:b/>
                <w:spacing w:val="-4"/>
              </w:rPr>
              <w:t>J. Lance Carter</w:t>
            </w:r>
            <w:r>
              <w:rPr>
                <w:b/>
              </w:rPr>
              <w:t xml:space="preserve"> </w:t>
              <w:br/>
            </w:r>
            <w:r>
              <w:rPr>
                <w:b/>
                <w:spacing w:val="-4"/>
              </w:rPr>
              <w:t>Attorney-in-Fact</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237" w:type="dxa"/>
            <w:gridSpan w:val="3"/>
            <w:tcBorders/>
            <w:tcMar>
              <w:top w:w="28" w:type="dxa"/>
              <w:left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b/>
        </w:rPr>
      </w:pPr>
      <w:bookmarkStart w:id="22" w:name="tm2613736d1_ex23-1.htm"/>
      <w:bookmarkStart w:id="23" w:name="kstm2613736d1_ex231"/>
      <w:bookmarkEnd w:id="22"/>
      <w:bookmarkEnd w:id="23"/>
      <w:r>
        <w:rPr>
          <w:b/>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Amendment No. 1 to the Registration Statement (No. 333-293623) on Form S-3 of HBT Financial, Inc. of our reports dated March 6, 2026, relating to the consolidated financial statements and the effectiveness of internal control over financial reporting of HBT Financial, appearing in the Annual Report on Form 10-K of HBT Financial,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RSM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775215/000077521526000025/hbt-20251231.htm" TargetMode="External"/><Relationship Id="rId4" Type="http://schemas.openxmlformats.org/officeDocument/2006/relationships/hyperlink" Target="https://www.sec.gov/ix?doc=/Archives/edgar/data/775215/000077521526000025/hbt-20251231.htm" TargetMode="External"/><Relationship Id="rId5" Type="http://schemas.openxmlformats.org/officeDocument/2006/relationships/hyperlink" Target="https://www.sec.gov/ix?doc=/Archives/edgar/data/775215/000077521526000025/hbt-20251231.htm" TargetMode="External"/><Relationship Id="rId6" Type="http://schemas.openxmlformats.org/officeDocument/2006/relationships/hyperlink" Target="https://www.sec.gov/ix?doc=/Archives/edgar/data/775215/000077521526000025/hbt-20251231.htm" TargetMode="External"/><Relationship Id="rId7" Type="http://schemas.openxmlformats.org/officeDocument/2006/relationships/hyperlink" Target="https://www.sec.gov/ix?doc=/Archives/edgar/data/775215/000077521526000025/hbt-20251231.htm" TargetMode="External"/><Relationship Id="rId8" Type="http://schemas.openxmlformats.org/officeDocument/2006/relationships/hyperlink" Target="https://www.sec.gov/ix?doc=/Archives/edgar/data/775215/000077521526000055/hbt-20260331.htm" TargetMode="External"/><Relationship Id="rId9" Type="http://schemas.openxmlformats.org/officeDocument/2006/relationships/hyperlink" Target="https://www.sec.gov/ix?doc=/Archives/edgar/data/775215/000077521526000013/hbt-20260127.htm" TargetMode="External"/><Relationship Id="rId10" Type="http://schemas.openxmlformats.org/officeDocument/2006/relationships/hyperlink" Target="https://www.sec.gov/ix?doc=/Archives/edgar/data/775215/000077521526000018/hbt-20260130.htm" TargetMode="External"/><Relationship Id="rId11" Type="http://schemas.openxmlformats.org/officeDocument/2006/relationships/hyperlink" Target="https://www.sec.gov/ix?doc=/Archives/edgar/data/775215/000077521526000021/hbt-20260301.htm" TargetMode="External"/><Relationship Id="rId12" Type="http://schemas.openxmlformats.org/officeDocument/2006/relationships/hyperlink" Target="https://www.sec.gov/ix?doc=/Archives/edgar/data/775215/000077521526000028/hbt-20260311.htm" TargetMode="External"/><Relationship Id="rId13" Type="http://schemas.openxmlformats.org/officeDocument/2006/relationships/hyperlink" Target="https://www.sec.gov/ix?doc=/Archives/edgar/data/775215/000077521526000033/hbt-20260324.htm" TargetMode="External"/><Relationship Id="rId14" Type="http://schemas.openxmlformats.org/officeDocument/2006/relationships/hyperlink" Target="https://www.sec.gov/ix?doc=/Archives/edgar/data/775215/000077521526000052/hbt-20260428.htm" TargetMode="External"/><Relationship Id="rId15" Type="http://schemas.openxmlformats.org/officeDocument/2006/relationships/hyperlink" Target="https://www.sec.gov/ix?doc=/Archives/edgar/data/775215/000077521526000050/hbt-20260301.htm" TargetMode="External"/><Relationship Id="rId16" Type="http://schemas.openxmlformats.org/officeDocument/2006/relationships/hyperlink" Target="https://www.sec.gov/Archives/edgar/data/775215/000110465919053695/a19-12229_78a12b.htm" TargetMode="External"/><Relationship Id="rId17" Type="http://schemas.openxmlformats.org/officeDocument/2006/relationships/hyperlink" Target="https://www.sec.gov/Archives/edgar/data/775215/000155837020003253/hbt-20191231ex42317d17f.htm" TargetMode="External"/><Relationship Id="rId18" Type="http://schemas.openxmlformats.org/officeDocument/2006/relationships/hyperlink" Target="https://www.sec.gov/Archives/edgar/data/775215/000110465919057911/a19-21406_1ex4d1.htm" TargetMode="External"/><Relationship Id="rId19" Type="http://schemas.openxmlformats.org/officeDocument/2006/relationships/hyperlink" Target="https://www.sec.gov/Archives/edgar/data/775215/000110465919057911/a19-21406_1ex4d2.htm" TargetMode="External"/><Relationship Id="rId20" Type="http://schemas.openxmlformats.org/officeDocument/2006/relationships/hyperlink" Target="https://www.sec.gov/Archives/edgar/data/775215/000104746919005534/a2239768zex-4_1.htm" TargetMode="External"/><Relationship Id="rId21" Type="http://schemas.openxmlformats.org/officeDocument/2006/relationships/hyperlink" Target="https://www.sec.gov/Archives/edgar/data/775215/000155837020003253/hbt-20191231ex42317d17f.htm" TargetMode="External"/><Relationship Id="rId22" Type="http://schemas.openxmlformats.org/officeDocument/2006/relationships/hyperlink" Target="https://www.sec.gov/Archives/edgar/data/775215/000110465923031194/tm238902d2_ex4-6.htm" TargetMode="External"/><Relationship Id="rId23" Type="http://schemas.openxmlformats.org/officeDocument/2006/relationships/hyperlink" Target="https://www.sec.gov/Archives/edgar/data/775215/000110465926018177/tm266784d2_ex5-1.htm" TargetMode="External"/><Relationship Id="rId24" Type="http://schemas.openxmlformats.org/officeDocument/2006/relationships/hyperlink" Target="https://www.sec.gov/Archives/edgar/data/775215/000110465926018177/tm266784d2_ex5-1.htm" TargetMode="External"/><Relationship Id="rId25" Type="http://schemas.openxmlformats.org/officeDocument/2006/relationships/hyperlink" Target="https://www.sec.gov/ix?doc=/Archives/edgar/data/775215/000110465926018177/tm266784d1_ex-filingfees.htm"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19110</Words>
  <Characters>100385</Characters>
  <CharactersWithSpaces>120569</CharactersWithSpaces>
  <Paragraphs>1481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