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615486-4_s4a.htm"/>
      <w:bookmarkStart w:id="1" w:name="kstm26154864_s4a"/>
      <w:bookmarkEnd w:id="0"/>
      <w:bookmarkEnd w:id="1"/>
      <w:r>
        <w:rPr>
          <w:caps w:val="false"/>
          <w:smallCaps w:val="false"/>
          <w:color w:val="000000"/>
        </w:rPr>
        <w:t>​</w: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4,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80" w:after="283"/>
        <w:ind w:left="940" w:right="0" w:hanging="0"/>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333-296272</w:t>
      </w:r>
      <w:r>
        <w:rPr>
          <w:rFonts w:ascii="Times New Roman;Times;serif" w:hAnsi="Times New Roman;Times;serif"/>
          <w:b/>
          <w:i w:val="false"/>
          <w:caps w:val="false"/>
          <w:smallCaps w:val="false"/>
          <w:color w:val="000000"/>
          <w:sz w:val="18"/>
        </w:rPr>
        <w:t>​</w:t>
      </w:r>
    </w:p>
    <w:p>
      <w:pPr>
        <w:pStyle w:val="TextBody"/>
        <w:bidi w:val="0"/>
        <w:spacing w:before="5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UNITED STATES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00" w:before="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w:t>
      </w:r>
      <w:r>
        <w:rPr>
          <w:rFonts w:ascii="Times New Roman;Times;serif" w:hAnsi="Times New Roman;Times;serif"/>
          <w:b/>
          <w:i w:val="false"/>
          <w:caps/>
          <w:color w:val="000000"/>
          <w:spacing w:val="-4"/>
          <w:sz w:val="18"/>
        </w:rPr>
        <w:t>mendment</w:t>
      </w:r>
      <w:r>
        <w:rPr>
          <w:rFonts w:ascii="Times New Roman;Times;serif" w:hAnsi="Times New Roman;Times;serif"/>
          <w:b/>
          <w:i w:val="false"/>
          <w:caps w:val="false"/>
          <w:smallCaps w:val="false"/>
          <w:color w:val="000000"/>
          <w:spacing w:val="-4"/>
          <w:sz w:val="18"/>
        </w:rPr>
        <w:t xml:space="preserve"> NO. 2</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TO</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40" w:before="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S-4</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UNDER 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40" w:before="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HBT Financial,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p>
      <w:pPr>
        <w:pStyle w:val="TextBody"/>
        <w:bidi w:val="0"/>
        <w:spacing w:before="17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216" w:type="dxa"/>
        <w:jc w:val="left"/>
        <w:tblInd w:w="540" w:type="dxa"/>
        <w:tblLayout w:type="fixed"/>
        <w:tblCellMar>
          <w:top w:w="0" w:type="dxa"/>
          <w:left w:w="0" w:type="dxa"/>
          <w:bottom w:w="0" w:type="dxa"/>
          <w:right w:w="0" w:type="dxa"/>
        </w:tblCellMar>
      </w:tblPr>
      <w:tblGrid>
        <w:gridCol w:w="124"/>
        <w:gridCol w:w="3133"/>
        <w:gridCol w:w="109"/>
        <w:gridCol w:w="109"/>
        <w:gridCol w:w="2989"/>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133"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8"/>
              </w:rPr>
            </w:pPr>
            <w:r>
              <w:rPr>
                <w:b/>
                <w:spacing w:val="-4"/>
                <w:sz w:val="18"/>
              </w:rPr>
              <w:t>6022</w:t>
            </w:r>
            <w:r>
              <w:rPr>
                <w:b/>
                <w:sz w:val="18"/>
              </w:rPr>
              <w:t xml:space="preserve"> </w:t>
            </w:r>
          </w:p>
          <w:p>
            <w:pPr>
              <w:pStyle w:val="TableContents"/>
              <w:bidi w:val="0"/>
              <w:spacing w:lineRule="atLeast" w:line="180" w:before="36" w:after="283"/>
              <w:jc w:val="center"/>
              <w:rPr/>
            </w:pPr>
            <w:r>
              <w:rPr>
                <w:spacing w:val="3"/>
              </w:rPr>
              <w:t xml:space="preserve">(Primary Standard Industrial </w:t>
            </w:r>
            <w:r>
              <w:rPr/>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37-1117216</w:t>
            </w:r>
            <w:r>
              <w:rPr>
                <w:b/>
                <w:sz w:val="18"/>
              </w:rPr>
              <w:t xml:space="preserve"> </w:t>
            </w:r>
          </w:p>
          <w:p>
            <w:pPr>
              <w:pStyle w:val="TableContents"/>
              <w:bidi w:val="0"/>
              <w:spacing w:lineRule="atLeast" w:line="180" w:before="36" w:after="283"/>
              <w:jc w:val="center"/>
              <w:rPr/>
            </w:pPr>
            <w:r>
              <w:rPr>
                <w:spacing w:val="3"/>
              </w:rPr>
              <w:t xml:space="preserve">(IRS Employer </w:t>
            </w:r>
            <w:r>
              <w:rPr/>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401 North Hershey Rd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Bloomington, Illinois 61704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309-662-4444</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6"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Including Zip Code, and Telephone Number, Including Area Code, of Registrant’s Principal Executive Offices)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J. Lance Carter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President and Chief Executive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401 North Hershey Rd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Bloomington, Illinois 61704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(888) 897-2276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6"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Including Zip Code, and Telephone Number, Including Area Code, of Agent for Service)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Copies to:</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Abdul R. Mitha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Barack Ferrazzano Kirschbaum &amp; Nagelberg LLP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200 West Madison Street, Suite 3900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Chicago, Illinois 60606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(312) 984-3100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w:t>
      </w:r>
      <w:r>
        <w:rPr>
          <w:rFonts w:ascii="Times New Roman;Times;serif" w:hAnsi="Times New Roman;Times;serif"/>
          <w:b w:val="false"/>
          <w:i w:val="false"/>
          <w:caps w:val="false"/>
          <w:smallCaps w:val="false"/>
          <w:color w:val="000000"/>
          <w:spacing w:val="4"/>
          <w:sz w:val="18"/>
        </w:rPr>
        <w:t xml:space="preserve"> As soon as practicable after this registration statement becomes effective.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5568" w:type="dxa"/>
        <w:jc w:val="left"/>
        <w:tblInd w:w="540" w:type="dxa"/>
        <w:tblLayout w:type="fixed"/>
        <w:tblCellMar>
          <w:top w:w="0" w:type="dxa"/>
          <w:left w:w="0" w:type="dxa"/>
          <w:bottom w:w="0" w:type="dxa"/>
          <w:right w:w="0" w:type="dxa"/>
        </w:tblCellMar>
      </w:tblPr>
      <w:tblGrid>
        <w:gridCol w:w="124"/>
        <w:gridCol w:w="229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219200" cy="525780"/>
                      <wp:effectExtent l="0" t="0" r="0" b="0"/>
                      <wp:wrapSquare wrapText="right"/>
                      <wp:docPr id="1" name="Frame1"/>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152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219200" cy="525780"/>
                      <wp:effectExtent l="0" t="0" r="0" b="0"/>
                      <wp:wrapSquare wrapText="right"/>
                      <wp:docPr id="3" name="Frame3"/>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5240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5240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200" w:before="80" w:after="283"/>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applicable, place an X in the box to designate the appropriate rule provision relied upon in conducting this transaction: </w:t>
      </w:r>
    </w:p>
    <w:p>
      <w:pPr>
        <w:pStyle w:val="TextBody"/>
        <w:bidi w:val="0"/>
        <w:spacing w:lineRule="atLeast" w:line="206" w:before="76" w:after="0"/>
        <w:ind w:left="6940"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48260" distB="0" distL="254000" distR="0" simplePos="0" locked="0" layoutInCell="1" allowOverlap="1" relativeHeight="7">
                <wp:simplePos x="0" y="0"/>
                <wp:positionH relativeFrom="column">
                  <wp:align>left</wp:align>
                </wp:positionH>
                <wp:positionV relativeFrom="line">
                  <wp:align>top</wp:align>
                </wp:positionV>
                <wp:extent cx="3810000" cy="525780"/>
                <wp:effectExtent l="0" t="0" r="0" b="0"/>
                <wp:wrapSquare wrapText="right"/>
                <wp:docPr id="6" name="Frame6"/>
                <a:graphic xmlns:a="http://schemas.openxmlformats.org/drawingml/2006/main">
                  <a:graphicData uri="http://schemas.microsoft.com/office/word/2010/wordprocessingShape">
                    <wps:wsp>
                      <wps:cNvSpPr txBox="1"/>
                      <wps:spPr>
                        <a:xfrm>
                          <a:off x="0" y="0"/>
                          <a:ext cx="3810000" cy="525780"/>
                        </a:xfrm>
                        <a:prstGeom prst="rect"/>
                        <a:solidFill>
                          <a:srgbClr val="FFFFFF"/>
                        </a:solidFill>
                      </wps:spPr>
                      <wps:txbx>
                        <w:txbxContent>
                          <w:p>
                            <w:pPr>
                              <w:pStyle w:val="TextBody"/>
                              <w:bidi w:val="0"/>
                              <w:spacing w:lineRule="atLeast" w:line="206" w:before="0" w:after="283"/>
                              <w:jc w:val="left"/>
                              <w:rPr/>
                            </w:pPr>
                            <w:r>
                              <w:rPr>
                                <w:spacing w:val="4"/>
                              </w:rPr>
                              <w:t>Exchange Act Rule 13e-4(i) (Cross-Border Issuer Tender Offer)</w:t>
                            </w:r>
                            <w:r>
                              <w:rPr/>
                              <w:t xml:space="preserve"> </w:t>
                              <w:br/>
                            </w:r>
                          </w:p>
                        </w:txbxContent>
                      </wps:txbx>
                      <wps:bodyPr anchor="t" lIns="0" tIns="0" rIns="0" bIns="0">
                        <a:noAutofit/>
                      </wps:bodyPr>
                    </wps:wsp>
                  </a:graphicData>
                </a:graphic>
              </wp:anchor>
            </w:drawing>
          </mc:Choice>
          <mc:Fallback>
            <w:pict>
              <v:rect style="position:absolute;rotation:-0;width:300pt;height:41.4pt;mso-wrap-distance-left:20pt;mso-wrap-distance-right:0pt;mso-wrap-distance-top:3.8pt;mso-wrap-distance-bottom:0pt;margin-top:3.8pt;mso-position-vertical:top;mso-position-vertical-relative:text;margin-left:-108.45pt;mso-position-horizontal:left;mso-position-horizontal-relative:text">
                <v:textbox>
                  <w:txbxContent>
                    <w:p>
                      <w:pPr>
                        <w:pStyle w:val="TextBody"/>
                        <w:bidi w:val="0"/>
                        <w:spacing w:lineRule="atLeast" w:line="206" w:before="0" w:after="283"/>
                        <w:jc w:val="left"/>
                        <w:rPr/>
                      </w:pPr>
                      <w:r>
                        <w:rPr>
                          <w:spacing w:val="4"/>
                        </w:rPr>
                        <w:t>Exchange Act Rule 13e-4(i) (Cross-Border Issuer Tender Offer)</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06" w:before="76" w:after="0"/>
        <w:ind w:left="6940" w:right="0" w:hanging="0"/>
        <w:jc w:val="left"/>
        <w:rPr>
          <w:caps w:val="false"/>
          <w:smallCaps w:val="false"/>
          <w:color w:val="000000"/>
        </w:rPr>
      </w:pPr>
      <w:r>
        <w:rPr>
          <w:caps w:val="false"/>
          <w:smallCaps w:val="false"/>
          <w:color w:val="000000"/>
          <w:spacing w:val="4"/>
        </w:rPr>
        <w:t>☐</w:t>
      </w:r>
      <w:r>
        <w:rPr>
          <w:caps w:val="false"/>
          <w:smallCaps w:val="false"/>
          <w:color w:val="000000"/>
        </w:rPr>
        <w:t xml:space="preserve"> </w:t>
      </w:r>
      <w:r>
        <mc:AlternateContent>
          <mc:Choice Requires="wps">
            <w:drawing>
              <wp:anchor behindDoc="0" distT="48260" distB="0" distL="254000" distR="0" simplePos="0" locked="0" layoutInCell="1" allowOverlap="1" relativeHeight="8">
                <wp:simplePos x="0" y="0"/>
                <wp:positionH relativeFrom="column">
                  <wp:align>left</wp:align>
                </wp:positionH>
                <wp:positionV relativeFrom="line">
                  <wp:align>top</wp:align>
                </wp:positionV>
                <wp:extent cx="3810000" cy="525780"/>
                <wp:effectExtent l="0" t="0" r="0" b="0"/>
                <wp:wrapSquare wrapText="right"/>
                <wp:docPr id="7" name="Frame7"/>
                <a:graphic xmlns:a="http://schemas.openxmlformats.org/drawingml/2006/main">
                  <a:graphicData uri="http://schemas.microsoft.com/office/word/2010/wordprocessingShape">
                    <wps:wsp>
                      <wps:cNvSpPr txBox="1"/>
                      <wps:spPr>
                        <a:xfrm>
                          <a:off x="0" y="0"/>
                          <a:ext cx="3810000" cy="525780"/>
                        </a:xfrm>
                        <a:prstGeom prst="rect"/>
                        <a:solidFill>
                          <a:srgbClr val="FFFFFF"/>
                        </a:solidFill>
                      </wps:spPr>
                      <wps:txbx>
                        <w:txbxContent>
                          <w:p>
                            <w:pPr>
                              <w:pStyle w:val="TextBody"/>
                              <w:bidi w:val="0"/>
                              <w:spacing w:lineRule="atLeast" w:line="206" w:before="0" w:after="283"/>
                              <w:jc w:val="left"/>
                              <w:rPr/>
                            </w:pPr>
                            <w:r>
                              <w:rPr>
                                <w:spacing w:val="4"/>
                              </w:rPr>
                              <w:t>Exchange Act Rule 14d-1(d) (Cross-Border Third-Party Tender Offer)</w:t>
                            </w:r>
                            <w:r>
                              <w:rPr/>
                              <w:t xml:space="preserve"> </w:t>
                              <w:br/>
                            </w:r>
                          </w:p>
                        </w:txbxContent>
                      </wps:txbx>
                      <wps:bodyPr anchor="t" lIns="0" tIns="0" rIns="0" bIns="0">
                        <a:noAutofit/>
                      </wps:bodyPr>
                    </wps:wsp>
                  </a:graphicData>
                </a:graphic>
              </wp:anchor>
            </w:drawing>
          </mc:Choice>
          <mc:Fallback>
            <w:pict>
              <v:rect style="position:absolute;rotation:-0;width:300pt;height:41.4pt;mso-wrap-distance-left:20pt;mso-wrap-distance-right:0pt;mso-wrap-distance-top:3.8pt;mso-wrap-distance-bottom:0pt;margin-top:3.8pt;mso-position-vertical:top;mso-position-vertical-relative:text;margin-left:-108.45pt;mso-position-horizontal:left;mso-position-horizontal-relative:text">
                <v:textbox>
                  <w:txbxContent>
                    <w:p>
                      <w:pPr>
                        <w:pStyle w:val="TextBody"/>
                        <w:bidi w:val="0"/>
                        <w:spacing w:lineRule="atLeast" w:line="206" w:before="0" w:after="283"/>
                        <w:jc w:val="left"/>
                        <w:rPr/>
                      </w:pPr>
                      <w:r>
                        <w:rPr>
                          <w:spacing w:val="4"/>
                        </w:rPr>
                        <w:t>Exchange Act Rule 14d-1(d) (Cross-Border Third-Party Tender Offer)</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25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2"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11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HBT Financial, Inc. is filing this Amendment No. 2 to the Registration Statement on Form S-4 (File No. 333-296272), originally filed on May 27, 2026 (the “Registration Statement”), to update Part II, Item 21 (Exhibits) in the originally filed Registration Statement. Accordingly, this Amendment No. 2 consists only of the facing page, this explanatory note, Part II of the Registration Statement and Exhibit 23.1 filed herewith. The remainder of the Registration Statement, including the prospectus, is unchanged and has therefore been omitted.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PART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20.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Delaware Law.   </w:t>
      </w:r>
      <w:r>
        <w:rPr>
          <w:rFonts w:ascii="Times New Roman;Times;serif" w:hAnsi="Times New Roman;Times;serif"/>
          <w:b w:val="false"/>
          <w:i w:val="false"/>
          <w:caps w:val="false"/>
          <w:smallCaps w:val="false"/>
          <w:color w:val="000000"/>
          <w:spacing w:val="4"/>
          <w:sz w:val="20"/>
        </w:rPr>
        <w:t xml:space="preserve">The Company is incorporated under the laws of the State of Delaware. 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Certificate of Incorporation provides for this limitation of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Where an officer or director is successful on the merits or otherwise in the defense of any action referred to above, the corporation must indemnify him against the expenses which such officer or director has actually and reasonably incurred. 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 Each of the directors and officers of the Company are covered by insurance policies maintained and held in effect by the Company against certain liabilities for actions taken in such capacities, including liabilities under the Securities Act of 1933.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and Bylaws.   </w:t>
      </w:r>
      <w:r>
        <w:rPr>
          <w:rFonts w:ascii="Times New Roman;Times;serif" w:hAnsi="Times New Roman;Times;serif"/>
          <w:b w:val="false"/>
          <w:i w:val="false"/>
          <w:caps w:val="false"/>
          <w:smallCaps w:val="false"/>
          <w:color w:val="000000"/>
          <w:spacing w:val="4"/>
          <w:sz w:val="20"/>
        </w:rPr>
        <w:t xml:space="preserve">Article Ninth of the Certificate of Incorporation provides that, no director of the Company shall be liable to the Company or its stockholders for monetary damages arising from a breach of such director’s fiduciary duty as a director owed to the Company or its stockholders, except to the extent that such exemption from liability or limitation thereof is not permitted under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VI of the Bylaws provides that, to the extent permitted by the DGCL, the Company shall indemnify any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Company or is or was serving at the request of the corporation as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reasonably believed to be in or not opposed to the best interests of the Company, and, with respect to any criminal action or proceeding, had no reasonable cause to believe his or her conduct was unlawful. Under the DGCL,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Company, and with respect to any criminal action or proceeding, had reasonable cause to believe that his or her conduct was unlawful and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application that, despite the adjudication of liability but in view of all the circumstances of the case, such person is fairly and reasonably entitled to indemnity for such expenses which the Court of Chancery or such other court shall deem proper. To the extent that a director, officer, employee or agent of the Company has been successful on the merits or otherwise in defense of any action, suit or proceeding referred to above, or in defense of any claim, issue or matter therein, he or she shall be indemnified against expenses (including attorneys’ fees) actually and reasonably incurred by him or her in connection therewith. Any indemnification (unless ordered by a court) shall be made by the Company only upon a determination in the specific case that indemnification of the director, officer, employee or agent is proper in the circumstances because he or she has met the applicable standard of conduct set forth above. Such determination shall be made (a) by the Board of Directors by a majority vote of a quorum consisting of directors who were not parties to such action, suit or proceedings, (b) by a committee of such directors designated by a majority vote of such directors, even though less than a quorum, (c) if such quorum is not obtainable, or, even if obtainable and a quorum of disinterested directors so directs, by independent legal counsel (compensated by the Company) in a written opinion, or (d) by the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description of the Company’s Certificate of Incorporation and Bylaws is qualified in its entirety by reference to each such document, which are listed as Exhibits 3.1 and 3.2 respectively, 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Liability Insurance</w:t>
      </w:r>
      <w:r>
        <w:rPr>
          <w:rFonts w:ascii="Times New Roman;Times;serif" w:hAnsi="Times New Roman;Times;serif"/>
          <w:b w:val="false"/>
          <w:i w:val="false"/>
          <w:caps w:val="false"/>
          <w:smallCaps w:val="false"/>
          <w:color w:val="000000"/>
          <w:spacing w:val="4"/>
          <w:sz w:val="20"/>
        </w:rPr>
        <w:t xml:space="preserve">.   The Company maintains directors’ and officers’ liability insurance which covers certain liabilities and expenses of its directors and officers and covers it for reimbursement of payments to our directors and officers in respect of such liabilities and expenses, in each case subject to certain limits and exceptions.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3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21.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exhibits are filed herewith or are incorporated herein by reference to other filings of the Registrant. </w:t>
      </w:r>
    </w:p>
    <w:tbl>
      <w:tblPr>
        <w:tblW w:w="8812" w:type="dxa"/>
        <w:jc w:val="left"/>
        <w:tblInd w:w="1393" w:type="dxa"/>
        <w:tblLayout w:type="fixed"/>
        <w:tblCellMar>
          <w:top w:w="0" w:type="dxa"/>
          <w:left w:w="0" w:type="dxa"/>
          <w:bottom w:w="28" w:type="dxa"/>
          <w:right w:w="0" w:type="dxa"/>
        </w:tblCellMar>
      </w:tblPr>
      <w:tblGrid>
        <w:gridCol w:w="124"/>
        <w:gridCol w:w="885"/>
        <w:gridCol w:w="109"/>
        <w:gridCol w:w="109"/>
        <w:gridCol w:w="743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5"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"https://www.sec.gov/Archives/edgar/data/775215/000110465919057911/a19-21406_1ex4d1.htm" \l "Exhibit4_1_084105"</w:instrText>
            </w:r>
            <w:r>
              <w:rPr>
                <w:rStyle w:val="InternetLink"/>
              </w:rPr>
              <w:fldChar w:fldCharType="separate"/>
            </w:r>
            <w:r>
              <w:rPr>
                <w:rStyle w:val="InternetLink"/>
              </w:rPr>
              <w:t>Restated Certificate of Incorporation of HBT Financial, Inc. (incorporated by reference to Exhibit 4.1 to the Company’s Registration Statement on Form S-8, filed with the SEC on October 30, 2019).</w:t>
            </w:r>
            <w:r>
              <w:rPr>
                <w:rStyle w:val="InternetLink"/>
              </w:rPr>
              <w:fldChar w:fldCharType="end"/>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"https://www.sec.gov/Archives/edgar/data/775215/000110465919057911/a19-21406_1ex4d2.htm" \l "Exhibit4_2_084350"</w:instrText>
            </w:r>
            <w:r>
              <w:rPr>
                <w:rStyle w:val="InternetLink"/>
                <w:spacing w:val="4"/>
              </w:rPr>
              <w:fldChar w:fldCharType="separate"/>
            </w:r>
            <w:r>
              <w:rPr>
                <w:rStyle w:val="InternetLink"/>
                <w:spacing w:val="4"/>
              </w:rPr>
              <w:t>Amended and Restated Bylaws of HBT Financial, Inc. (incorporated by reference to Exhibit 4.2 to the Company’s Registration Statement on Form S-8, filed with the SEC on October 30, 2019).</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283"/>
              <w:jc w:val="left"/>
              <w:rPr/>
            </w:pPr>
            <w:hyperlink r:id="rId2">
              <w:r>
                <w:rPr>
                  <w:rStyle w:val="InternetLink"/>
                </w:rPr>
                <w:t>Indenture, dated March 11, 2026, by and between HBT Financial, Inc. and UMB Bank, N.A., as trustee (incorporated herein by reference to Exhibit 4.1 to the Company’s Current Report on Form 8-K filed with the SEC on March 11,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hyperlink r:id="rId3">
              <w:r>
                <w:rPr>
                  <w:rStyle w:val="InternetLink"/>
                  <w:spacing w:val="4"/>
                </w:rPr>
                <w:t>Forms of 5.75% Fixed-to-Floating Rate Subordinated Notes due 2036 (included as Exhibit A-1 and Exhibit A-2 to the Indenture incorporated herein by reference as Exhibit 4.1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283"/>
              <w:jc w:val="left"/>
              <w:rPr/>
            </w:pPr>
            <w:hyperlink r:id="rId4">
              <w:r>
                <w:rPr>
                  <w:rStyle w:val="InternetLink"/>
                </w:rPr>
                <w:t>Form of Registration Rights Agreement, dated March 11, 2026, by and among HBT Financial, Inc. and the Purchasers signatory thereto (incorporated herein by reference to Exhibit 10.2 to the Company’s Current Report on Form 8-K filed with the SEC on March 11,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hyperlink r:id="rId5">
              <w:r>
                <w:rPr>
                  <w:rStyle w:val="InternetLink"/>
                  <w:spacing w:val="4"/>
                </w:rPr>
                <w:t>Opinion of Barack Ferrazzano Kirschbaum &amp; Nagelberg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jc w:val="left"/>
              <w:rPr>
                <w:spacing w:val="4"/>
              </w:rPr>
            </w:pPr>
            <w:r>
              <w:rPr>
                <w:spacing w:val="4"/>
              </w:rPr>
              <w:t xml:space="preserve">21.1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hyperlink r:id="rId6">
              <w:r>
                <w:rPr>
                  <w:rStyle w:val="InternetLink"/>
                  <w:spacing w:val="4"/>
                </w:rPr>
                <w:t>Subsidiaries of HBT Financial, Inc. (incorporated herein by reference to Exhibit 21.1 to the Company’s Annual Report on Form 10-K filed with the SEC on March 6,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hyperlink w:anchor="tm2615486d5_ex23-1.htm">
              <w:r>
                <w:rPr>
                  <w:rStyle w:val="InternetLink"/>
                  <w:spacing w:val="4"/>
                </w:rPr>
                <w:t>Consent of RSM US LLP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hyperlink r:id="rId7">
              <w:r>
                <w:rPr>
                  <w:rStyle w:val="InternetLink"/>
                  <w:spacing w:val="4"/>
                </w:rPr>
                <w:t>Consent of Barack Ferrazzano Kirschbaum &amp; Nagelberg LLP (included in the opinion filed as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"https://www.sec.gov/Archives/edgar/data/775215/000110465926066957/tm2615486-1_s4.htm" \l "tPOWA"</w:instrText>
            </w:r>
            <w:r>
              <w:rPr>
                <w:rStyle w:val="InternetLink"/>
                <w:spacing w:val="4"/>
              </w:rPr>
              <w:fldChar w:fldCharType="separate"/>
            </w:r>
            <w:r>
              <w:rPr>
                <w:rStyle w:val="InternetLink"/>
                <w:spacing w:val="4"/>
              </w:rPr>
              <w:t>Power of Attorney (included in Part II as a part of the signature page of this Registration Statement)</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hyperlink r:id="rId8">
              <w:r>
                <w:rPr>
                  <w:rStyle w:val="InternetLink"/>
                  <w:spacing w:val="4"/>
                </w:rPr>
                <w:t>Form T-1 Statement of Eligibility under the Trust Indenture Act of 1939, as amended, of UMB Bank, N.A.</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jc w:val="left"/>
              <w:rPr/>
            </w:pPr>
            <w:r>
              <w:rPr>
                <w:spacing w:val="4"/>
              </w:rPr>
              <w:t>99.1*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hyperlink r:id="rId9">
              <w:r>
                <w:rPr>
                  <w:rStyle w:val="InternetLink"/>
                  <w:spacing w:val="4"/>
                </w:rPr>
                <w:t>Form of Letter of Transmittal</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5"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0" w:type="dxa"/>
            <w:tcBorders/>
            <w:tcMar>
              <w:bottom w:w="0" w:type="dxa"/>
            </w:tcMar>
            <w:vAlign w:val="center"/>
          </w:tcPr>
          <w:p>
            <w:pPr>
              <w:pStyle w:val="TableContents"/>
              <w:bidi w:val="0"/>
              <w:spacing w:before="0" w:after="0"/>
              <w:jc w:val="left"/>
              <w:rPr/>
            </w:pPr>
            <w:hyperlink r:id="rId10">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Previously Filed.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22.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414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4140" distB="0" distL="508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 </w:t>
      </w:r>
      <w:r>
        <mc:AlternateContent>
          <mc:Choice Requires="wps">
            <w:drawing>
              <wp:anchor behindDoc="0" distT="104140" distB="0" distL="508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2870" distB="0" distL="508000" distR="0" simplePos="0" locked="0" layoutInCell="1" allowOverlap="1" relativeHeight="13">
                <wp:simplePos x="0" y="0"/>
                <wp:positionH relativeFrom="column">
                  <wp:align>left</wp:align>
                </wp:positionH>
                <wp:positionV relativeFrom="line">
                  <wp:align>top</wp:align>
                </wp:positionV>
                <wp:extent cx="254000" cy="525780"/>
                <wp:effectExtent l="0" t="0" r="0" b="0"/>
                <wp:wrapSquare wrapText="right"/>
                <wp:docPr id="12" name="Frame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287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287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287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287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2870" distB="0" distL="254000" distR="0" simplePos="0" locked="0" layoutInCell="1" allowOverlap="1" relativeHeight="18">
                <wp:simplePos x="0" y="0"/>
                <wp:positionH relativeFrom="column">
                  <wp:align>left</wp:align>
                </wp:positionH>
                <wp:positionV relativeFrom="line">
                  <wp:align>top</wp:align>
                </wp:positionV>
                <wp:extent cx="254000" cy="525780"/>
                <wp:effectExtent l="0" t="0" r="0" b="0"/>
                <wp:wrapSquare wrapText="right"/>
                <wp:docPr id="17" name="Frame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0" distB="0" distL="254000" distR="0" simplePos="0" locked="0" layoutInCell="1" allowOverlap="1" relativeHeight="19">
                <wp:simplePos x="0" y="0"/>
                <wp:positionH relativeFrom="column">
                  <wp:align>left</wp:align>
                </wp:positionH>
                <wp:positionV relativeFrom="line">
                  <wp:posOffset>635</wp:posOffset>
                </wp:positionV>
                <wp:extent cx="254000" cy="525780"/>
                <wp:effectExtent l="0" t="0" r="0" b="0"/>
                <wp:wrapSquare wrapText="right"/>
                <wp:docPr id="18" name="Frame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respond to requests for information that is incorporated by reference into the prospectus pursuant to Items 4, 10(b), 11, or 13 of this Form, within one (1)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bookmarkStart w:id="2" w:name="tPOWA"/>
      <w:bookmarkEnd w:id="2"/>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has duly caused this Registration Statement to be signed on its behalf by the undersigned, thereunto duly authorized, in Bloomington, State of Illinois, on August 4,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HBT FINANCIAL,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J. Lance Carter </w:t>
      </w:r>
      <w:r>
        <mc:AlternateContent>
          <mc:Choice Requires="wps">
            <w:drawing>
              <wp:anchor behindDoc="0" distT="304800" distB="0" distL="2794000" distR="0" simplePos="0" locked="0" layoutInCell="1" allowOverlap="1" relativeHeight="20">
                <wp:simplePos x="0" y="0"/>
                <wp:positionH relativeFrom="column">
                  <wp:align>left</wp:align>
                </wp:positionH>
                <wp:positionV relativeFrom="line">
                  <wp:align>top</wp:align>
                </wp:positionV>
                <wp:extent cx="254000" cy="525780"/>
                <wp:effectExtent l="0" t="0" r="0" b="0"/>
                <wp:wrapSquare wrapText="right"/>
                <wp:docPr id="19" name="Frame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0" w:after="0"/>
        <w:ind w:left="68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Lance Carter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1750" distB="0" distL="3048000" distR="0" simplePos="0" locked="0" layoutInCell="1" allowOverlap="1" relativeHeight="21">
                <wp:simplePos x="0" y="0"/>
                <wp:positionH relativeFrom="column">
                  <wp:align>left</wp:align>
                </wp:positionH>
                <wp:positionV relativeFrom="line">
                  <wp:align>top</wp:align>
                </wp:positionV>
                <wp:extent cx="444500" cy="525780"/>
                <wp:effectExtent l="0" t="0" r="0" b="0"/>
                <wp:wrapSquare wrapText="right"/>
                <wp:docPr id="20" name="Frame20"/>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2.5pt;mso-wrap-distance-bottom:0pt;margin-top:2.5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15240" distB="0" distL="3048000" distR="0" simplePos="0" locked="0" layoutInCell="1" allowOverlap="1" relativeHeight="22">
                <wp:simplePos x="0" y="0"/>
                <wp:positionH relativeFrom="column">
                  <wp:align>left</wp:align>
                </wp:positionH>
                <wp:positionV relativeFrom="line">
                  <wp:align>top</wp:align>
                </wp:positionV>
                <wp:extent cx="4445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1.2pt;mso-wrap-distance-bottom:0pt;margin-top:1.2pt;mso-position-vertical:top;mso-position-vertical-relative:text;margin-left:158.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below on August 4, 2026 by the following persons in the capacities indicated below. </w:t>
      </w:r>
    </w:p>
    <w:tbl>
      <w:tblPr>
        <w:tblW w:w="8782" w:type="dxa"/>
        <w:jc w:val="left"/>
        <w:tblInd w:w="1393" w:type="dxa"/>
        <w:tblLayout w:type="fixed"/>
        <w:tblCellMar>
          <w:top w:w="0" w:type="dxa"/>
          <w:left w:w="0" w:type="dxa"/>
          <w:bottom w:w="28" w:type="dxa"/>
          <w:right w:w="0" w:type="dxa"/>
        </w:tblCellMar>
      </w:tblPr>
      <w:tblGrid>
        <w:gridCol w:w="124"/>
        <w:gridCol w:w="2059"/>
        <w:gridCol w:w="109"/>
        <w:gridCol w:w="109"/>
        <w:gridCol w:w="6227"/>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5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2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Capacity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bottom w:w="0" w:type="dxa"/>
            </w:tcMar>
            <w:vAlign w:val="center"/>
          </w:tcPr>
          <w:p>
            <w:pPr>
              <w:pStyle w:val="TableContents"/>
              <w:bidi w:val="0"/>
              <w:spacing w:before="0" w:after="0"/>
              <w:jc w:val="left"/>
              <w:rPr/>
            </w:pPr>
            <w:r>
              <w:rPr>
                <w:spacing w:val="4"/>
              </w:rPr>
              <w:t>/s/ J. Lance Carter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 Lance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bottom w:w="0" w:type="dxa"/>
            </w:tcMar>
            <w:vAlign w:val="center"/>
          </w:tcPr>
          <w:p>
            <w:pPr>
              <w:pStyle w:val="TableContents"/>
              <w:bidi w:val="0"/>
              <w:spacing w:before="0" w:after="283"/>
              <w:jc w:val="left"/>
              <w:rPr/>
            </w:pPr>
            <w:r>
              <w:rPr>
                <w:spacing w:val="4"/>
              </w:rPr>
              <w:t>President and Chief Executive Officer</w:t>
            </w:r>
            <w:r>
              <w:rPr/>
              <w:t xml:space="preserve"> </w:t>
              <w:br/>
            </w:r>
            <w:r>
              <w:rPr>
                <w:spacing w:val="4"/>
              </w:rPr>
              <w:t xml:space="preserve">(Principal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Peter R. Chapman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283"/>
              <w:jc w:val="left"/>
              <w:rPr/>
            </w:pPr>
            <w:r>
              <w:rPr>
                <w:spacing w:val="4"/>
              </w:rPr>
              <w:t>Executive Vice President and Chief Financial Officer</w:t>
            </w:r>
            <w:r>
              <w:rPr/>
              <w:t xml:space="preserve"> </w:t>
              <w:br/>
            </w:r>
            <w:r>
              <w:rPr>
                <w:spacing w:val="4"/>
              </w:rPr>
              <w:t xml:space="preserve">(Principal Financial Officer and Principal Accounting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Fred L. Drake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Executive Chairman and 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James T. Ashworth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Roger A. Baker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 Alvin Bowman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Eric E. Burwell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top w:w="28" w:type="dxa"/>
              <w:left w:w="28" w:type="dxa"/>
              <w:right w:w="28"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Patrick F. Busch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Allen C. Drake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59"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Linda J. Koch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435" w:type="dxa"/>
        <w:jc w:val="left"/>
        <w:tblInd w:w="1393" w:type="dxa"/>
        <w:tblLayout w:type="fixed"/>
        <w:tblCellMar>
          <w:top w:w="0" w:type="dxa"/>
          <w:left w:w="0" w:type="dxa"/>
          <w:bottom w:w="28" w:type="dxa"/>
          <w:right w:w="0" w:type="dxa"/>
        </w:tblCellMar>
      </w:tblPr>
      <w:tblGrid>
        <w:gridCol w:w="124"/>
        <w:gridCol w:w="1954"/>
        <w:gridCol w:w="109"/>
        <w:gridCol w:w="109"/>
        <w:gridCol w:w="985"/>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5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Capacity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4" w:type="dxa"/>
            <w:tcBorders/>
            <w:tcMar>
              <w:bottom w:w="0" w:type="dxa"/>
            </w:tcMar>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J. Morton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4"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Gerald E. Pfeiffer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4" w:type="dxa"/>
            <w:tcBorders/>
            <w:tcMar>
              <w:top w:w="28" w:type="dxa"/>
              <w:left w:w="28" w:type="dxa"/>
              <w:right w:w="28" w:type="dxa"/>
            </w:tcMar>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Nancy L. Ruyle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top w:w="28" w:type="dxa"/>
              <w:left w:w="28" w:type="dxa"/>
              <w:right w:w="28" w:type="dxa"/>
            </w:tcMar>
            <w:vAlign w:val="center"/>
          </w:tcPr>
          <w:p>
            <w:pPr>
              <w:pStyle w:val="TableContents"/>
              <w:bidi w:val="0"/>
              <w:spacing w:before="0" w:after="283"/>
              <w:jc w:val="left"/>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3069" w:type="dxa"/>
        <w:jc w:val="left"/>
        <w:tblInd w:w="1393" w:type="dxa"/>
        <w:tblLayout w:type="fixed"/>
        <w:tblCellMar>
          <w:top w:w="0" w:type="dxa"/>
          <w:left w:w="0" w:type="dxa"/>
          <w:bottom w:w="0" w:type="dxa"/>
          <w:right w:w="0" w:type="dxa"/>
        </w:tblCellMar>
      </w:tblPr>
      <w:tblGrid>
        <w:gridCol w:w="124"/>
        <w:gridCol w:w="246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2464" w:type="dxa"/>
            <w:tcBorders/>
            <w:vAlign w:val="center"/>
          </w:tcPr>
          <w:p>
            <w:pPr>
              <w:pStyle w:val="TableContents"/>
              <w:bidi w:val="0"/>
              <w:spacing w:lineRule="atLeast" w:line="200" w:before="0" w:after="0"/>
              <w:ind w:left="540" w:right="0" w:hanging="0"/>
              <w:jc w:val="left"/>
              <w:rPr/>
            </w:pPr>
            <w:r>
              <w:rPr>
                <w:spacing w:val="4"/>
              </w:rPr>
              <w:t>/s/ J. Lance Carter</w:t>
            </w:r>
            <w:r>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42900" cy="525780"/>
                      <wp:effectExtent l="0" t="0" r="0" b="0"/>
                      <wp:wrapSquare wrapText="right"/>
                      <wp:docPr id="22" name="Frame22"/>
                      <a:graphic xmlns:a="http://schemas.openxmlformats.org/drawingml/2006/main">
                        <a:graphicData uri="http://schemas.microsoft.com/office/word/2010/wordprocessingShape">
                          <wps:wsp>
                            <wps:cNvSpPr txBox="1"/>
                            <wps:spPr>
                              <a:xfrm>
                                <a:off x="0" y="0"/>
                                <a:ext cx="342900" cy="525780"/>
                              </a:xfrm>
                              <a:prstGeom prst="rect"/>
                              <a:solidFill>
                                <a:srgbClr val="FFFFFF"/>
                              </a:solidFill>
                            </wps:spPr>
                            <wps:txbx>
                              <w:txbxContent>
                                <w:p>
                                  <w:pPr>
                                    <w:pStyle w:val="TextBody"/>
                                    <w:bidi w:val="0"/>
                                    <w:spacing w:lineRule="atLeast" w:line="200" w:before="0" w:after="283"/>
                                    <w:jc w:val="left"/>
                                    <w:rPr/>
                                  </w:pPr>
                                  <w:r>
                                    <w:rPr>
                                      <w:spacing w:val="4"/>
                                    </w:rPr>
                                    <w:t>* By:</w:t>
                                  </w:r>
                                  <w:r>
                                    <w:rPr/>
                                    <w:t xml:space="preserve"> </w:t>
                                    <w:br/>
                                  </w:r>
                                </w:p>
                              </w:txbxContent>
                            </wps:txbx>
                            <wps:bodyPr anchor="t" lIns="0" tIns="0" rIns="0" bIns="0">
                              <a:noAutofit/>
                            </wps:bodyPr>
                          </wps:wsp>
                        </a:graphicData>
                      </a:graphic>
                    </wp:anchor>
                  </w:drawing>
                </mc:Choice>
                <mc:Fallback>
                  <w:pict>
                    <v:rect style="position:absolute;rotation:-0;width:2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 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540" w:right="0" w:hanging="0"/>
              <w:jc w:val="left"/>
              <w:rPr>
                <w:bdr w:val="single" w:sz="8" w:space="1" w:color="000000"/>
              </w:rPr>
            </w:pPr>
            <w:r>
              <w:rPr>
                <w:bdr w:val="single" w:sz="8" w:space="1" w:color="000000"/>
              </w:rPr>
              <w:t>​</w:t>
            </w:r>
          </w:p>
          <w:p>
            <w:pPr>
              <w:pStyle w:val="TableContents"/>
              <w:bidi w:val="0"/>
              <w:spacing w:before="40" w:after="283"/>
              <w:ind w:left="540" w:right="0" w:hanging="0"/>
              <w:jc w:val="left"/>
              <w:rPr/>
            </w:pPr>
            <w:r>
              <w:rPr>
                <w:spacing w:val="4"/>
              </w:rPr>
              <w:t>J. Lance Carter</w:t>
            </w:r>
            <w:r>
              <w:rPr/>
              <w:t xml:space="preserve"> </w:t>
              <w:br/>
            </w:r>
            <w:r>
              <w:rPr>
                <w:spacing w:val="4"/>
              </w:rPr>
              <w:t>Attorney-in-Fact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bookmarkStart w:id="3" w:name="tm2615486d5_ex23-1.htm"/>
      <w:bookmarkStart w:id="4" w:name="kstm2615486d5_ex23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Amendment No. 2 to the Registration Statement (No. 333-296272) on Form S-4 of HBT Financial, Inc. of our reports dated March 6, 2026, relating to the consolidated financial statements and the effectiveness of internal control over financial reporting of HBT Financial, Inc., appearing in the Annual Report on Form 10-K of HBT Financial,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75215/000077521526000028/hbt-20260311ex41.htm" TargetMode="External"/><Relationship Id="rId3" Type="http://schemas.openxmlformats.org/officeDocument/2006/relationships/hyperlink" Target="https://www.sec.gov/Archives/edgar/data/775215/000077521526000028/hbt-20260311ex41.htm" TargetMode="External"/><Relationship Id="rId4" Type="http://schemas.openxmlformats.org/officeDocument/2006/relationships/hyperlink" Target="https://www.sec.gov/Archives/edgar/data/775215/000077521526000028/hbt-20260311ex102.htm" TargetMode="External"/><Relationship Id="rId5" Type="http://schemas.openxmlformats.org/officeDocument/2006/relationships/hyperlink" Target="https://www.sec.gov/Archives/edgar/data/775215/000110465926066957/tm2615486d2_ex5-1.htm" TargetMode="External"/><Relationship Id="rId6" Type="http://schemas.openxmlformats.org/officeDocument/2006/relationships/hyperlink" Target="https://www.sec.gov/Archives/edgar/data/775215/000077521526000025/hbt-20251231xex211.htm" TargetMode="External"/><Relationship Id="rId7" Type="http://schemas.openxmlformats.org/officeDocument/2006/relationships/hyperlink" Target="https://www.sec.gov/Archives/edgar/data/775215/000110465926066957/tm2615486d2_ex5-1.htm" TargetMode="External"/><Relationship Id="rId8" Type="http://schemas.openxmlformats.org/officeDocument/2006/relationships/hyperlink" Target="https://www.sec.gov/Archives/edgar/data/775215/000110465926066957/tm2615486d2_ex25-1.htm" TargetMode="External"/><Relationship Id="rId9" Type="http://schemas.openxmlformats.org/officeDocument/2006/relationships/hyperlink" Target="https://www.sec.gov/Archives/edgar/data/775215/000110465926066957/tm2615486d2_ex99-1.htm" TargetMode="External"/><Relationship Id="rId10" Type="http://schemas.openxmlformats.org/officeDocument/2006/relationships/hyperlink" Target="https://www.sec.gov/ix?doc=/Archives/edgar/data/775215/000110465926066957/tm2615486d1_ex-filingfees.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3464</Words>
  <Characters>18362</Characters>
  <CharactersWithSpaces>22109</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