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alibri" w:cs="Calibri" w:eastAsia="Calibri" w:hAnsi="Calibri"/>
          <w:sz w:val="11"/>
          <w:szCs w:val="11"/>
          <w:color w:val="003366"/>
        </w:rPr>
        <w:t>TABLE OF CONTENTS</w:t>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May 27, 2026</w:t>
      </w:r>
    </w:p>
    <w:p>
      <w:pPr>
        <w:spacing w:after="0" w:line="68" w:lineRule="exact"/>
        <w:rPr>
          <w:sz w:val="24"/>
          <w:szCs w:val="24"/>
          <w:color w:val="auto"/>
        </w:rPr>
      </w:pPr>
    </w:p>
    <w:p>
      <w:pPr>
        <w:jc w:val="right"/>
        <w:ind w:right="759"/>
        <w:spacing w:after="0"/>
        <w:rPr>
          <w:sz w:val="20"/>
          <w:szCs w:val="20"/>
          <w:color w:val="auto"/>
        </w:rPr>
      </w:pPr>
      <w:r>
        <w:rPr>
          <w:rFonts w:ascii="Times New Roman" w:cs="Times New Roman" w:eastAsia="Times New Roman" w:hAnsi="Times New Roman"/>
          <w:sz w:val="12"/>
          <w:szCs w:val="12"/>
          <w:b w:val="1"/>
          <w:bCs w:val="1"/>
          <w:color w:val="auto"/>
        </w:rPr>
        <w:t>Registration No. 333-            ​</w:t>
      </w:r>
    </w:p>
    <w:p>
      <w:pPr>
        <w:spacing w:after="0" w:line="34"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501015</wp:posOffset>
            </wp:positionH>
            <wp:positionV relativeFrom="paragraph">
              <wp:posOffset>-4445</wp:posOffset>
            </wp:positionV>
            <wp:extent cx="471741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17415" cy="13335"/>
                    </a:xfrm>
                    <a:prstGeom prst="rect">
                      <a:avLst/>
                    </a:prstGeom>
                    <a:noFill/>
                  </pic:spPr>
                </pic:pic>
              </a:graphicData>
            </a:graphic>
          </wp:anchor>
        </w:drawing>
        <w:drawing>
          <wp:anchor simplePos="0" relativeHeight="251657728" behindDoc="1" locked="0" layoutInCell="0" allowOverlap="1">
            <wp:simplePos x="0" y="0"/>
            <wp:positionH relativeFrom="column">
              <wp:posOffset>501015</wp:posOffset>
            </wp:positionH>
            <wp:positionV relativeFrom="paragraph">
              <wp:posOffset>34290</wp:posOffset>
            </wp:positionV>
            <wp:extent cx="47174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17415" cy="6350"/>
                    </a:xfrm>
                    <a:prstGeom prst="rect">
                      <a:avLst/>
                    </a:prstGeom>
                    <a:noFill/>
                  </pic:spPr>
                </pic:pic>
              </a:graphicData>
            </a:graphic>
          </wp:anchor>
        </w:drawing>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S-4</w:t>
      </w:r>
    </w:p>
    <w:p>
      <w:pPr>
        <w:spacing w:after="0" w:line="6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2"/>
          <w:szCs w:val="12"/>
          <w:b w:val="1"/>
          <w:bCs w:val="1"/>
          <w:color w:val="auto"/>
        </w:rPr>
        <w:t>REGISTRATION STATEMENT</w:t>
      </w:r>
    </w:p>
    <w:p>
      <w:pPr>
        <w:spacing w:after="0" w:line="12"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2"/>
          <w:szCs w:val="12"/>
          <w:b w:val="1"/>
          <w:bCs w:val="1"/>
          <w:color w:val="auto"/>
        </w:rPr>
        <w:t>UNDER THE SECURITIES ACT OF 1933</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HBT Financial, Inc.</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80010</wp:posOffset>
            </wp:positionV>
            <wp:extent cx="94234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2340" cy="6350"/>
                    </a:xfrm>
                    <a:prstGeom prst="rect">
                      <a:avLst/>
                    </a:prstGeom>
                    <a:noFill/>
                  </pic:spPr>
                </pic:pic>
              </a:graphicData>
            </a:graphic>
          </wp:anchor>
        </w:drawing>
      </w:r>
    </w:p>
    <w:p>
      <w:pPr>
        <w:spacing w:after="0" w:line="186" w:lineRule="exact"/>
        <w:rPr>
          <w:sz w:val="24"/>
          <w:szCs w:val="24"/>
          <w:color w:val="auto"/>
        </w:rPr>
      </w:pPr>
    </w:p>
    <w:tbl>
      <w:tblPr>
        <w:tblLayout w:type="fixed"/>
        <w:tblInd w:w="800" w:type="dxa"/>
        <w:tblCellMar>
          <w:top w:w="0" w:type="dxa"/>
          <w:left w:w="0" w:type="dxa"/>
          <w:bottom w:w="0" w:type="dxa"/>
          <w:right w:w="0" w:type="dxa"/>
        </w:tblCellMar>
      </w:tblPr>
      <w:tr>
        <w:trPr>
          <w:trHeight w:val="161"/>
        </w:trPr>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92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6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 ​</w:t>
            </w:r>
          </w:p>
        </w:tc>
        <w:tc>
          <w:tcPr>
            <w:tcW w:w="1900" w:type="dxa"/>
            <w:vAlign w:val="bottom"/>
          </w:tcPr>
          <w:p>
            <w:pPr>
              <w:jc w:val="right"/>
              <w:ind w:right="783"/>
              <w:spacing w:after="0"/>
              <w:rPr>
                <w:sz w:val="20"/>
                <w:szCs w:val="20"/>
                <w:color w:val="auto"/>
              </w:rPr>
            </w:pPr>
            <w:r>
              <w:rPr>
                <w:rFonts w:ascii="Times New Roman" w:cs="Times New Roman" w:eastAsia="Times New Roman" w:hAnsi="Times New Roman"/>
                <w:sz w:val="12"/>
                <w:szCs w:val="12"/>
                <w:b w:val="1"/>
                <w:bCs w:val="1"/>
                <w:color w:val="auto"/>
              </w:rPr>
              <w:t>6022</w:t>
            </w:r>
          </w:p>
        </w:tc>
        <w:tc>
          <w:tcPr>
            <w:tcW w:w="7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 ​</w:t>
            </w:r>
          </w:p>
        </w:tc>
        <w:tc>
          <w:tcPr>
            <w:tcW w:w="1720" w:type="dxa"/>
            <w:vAlign w:val="bottom"/>
          </w:tcPr>
          <w:p>
            <w:pPr>
              <w:jc w:val="right"/>
              <w:ind w:right="523"/>
              <w:spacing w:after="0"/>
              <w:rPr>
                <w:sz w:val="20"/>
                <w:szCs w:val="20"/>
                <w:color w:val="auto"/>
              </w:rPr>
            </w:pPr>
            <w:r>
              <w:rPr>
                <w:rFonts w:ascii="Times New Roman" w:cs="Times New Roman" w:eastAsia="Times New Roman" w:hAnsi="Times New Roman"/>
                <w:sz w:val="12"/>
                <w:szCs w:val="12"/>
                <w:b w:val="1"/>
                <w:bCs w:val="1"/>
                <w:color w:val="auto"/>
              </w:rPr>
              <w:t>37-1117216</w:t>
            </w:r>
          </w:p>
        </w:tc>
        <w:tc>
          <w:tcPr>
            <w:tcW w:w="36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r>
      <w:tr>
        <w:trPr>
          <w:trHeight w:val="120"/>
        </w:trPr>
        <w:tc>
          <w:tcPr>
            <w:tcW w:w="240" w:type="dxa"/>
            <w:vAlign w:val="bottom"/>
          </w:tcPr>
          <w:p>
            <w:pPr>
              <w:spacing w:after="0"/>
              <w:rPr>
                <w:sz w:val="10"/>
                <w:szCs w:val="10"/>
                <w:color w:val="auto"/>
              </w:rPr>
            </w:pPr>
          </w:p>
        </w:tc>
        <w:tc>
          <w:tcPr>
            <w:tcW w:w="1920" w:type="dxa"/>
            <w:vAlign w:val="bottom"/>
          </w:tcPr>
          <w:p>
            <w:pPr>
              <w:ind w:left="240"/>
              <w:spacing w:after="0" w:line="120" w:lineRule="exact"/>
              <w:rPr>
                <w:sz w:val="20"/>
                <w:szCs w:val="20"/>
                <w:color w:val="auto"/>
              </w:rPr>
            </w:pPr>
            <w:r>
              <w:rPr>
                <w:rFonts w:ascii="Times New Roman" w:cs="Times New Roman" w:eastAsia="Times New Roman" w:hAnsi="Times New Roman"/>
                <w:sz w:val="11"/>
                <w:szCs w:val="11"/>
                <w:color w:val="auto"/>
              </w:rPr>
              <w:t>(State or Other Jurisdiction of</w:t>
            </w:r>
          </w:p>
        </w:tc>
        <w:tc>
          <w:tcPr>
            <w:tcW w:w="600" w:type="dxa"/>
            <w:vAlign w:val="bottom"/>
          </w:tcPr>
          <w:p>
            <w:pPr>
              <w:spacing w:after="0"/>
              <w:rPr>
                <w:sz w:val="10"/>
                <w:szCs w:val="10"/>
                <w:color w:val="auto"/>
              </w:rPr>
            </w:pPr>
          </w:p>
        </w:tc>
        <w:tc>
          <w:tcPr>
            <w:tcW w:w="1900" w:type="dxa"/>
            <w:vAlign w:val="bottom"/>
          </w:tcPr>
          <w:p>
            <w:pPr>
              <w:ind w:left="260"/>
              <w:spacing w:after="0" w:line="120" w:lineRule="exact"/>
              <w:rPr>
                <w:sz w:val="20"/>
                <w:szCs w:val="20"/>
                <w:color w:val="auto"/>
              </w:rPr>
            </w:pPr>
            <w:r>
              <w:rPr>
                <w:rFonts w:ascii="Times New Roman" w:cs="Times New Roman" w:eastAsia="Times New Roman" w:hAnsi="Times New Roman"/>
                <w:sz w:val="11"/>
                <w:szCs w:val="11"/>
                <w:color w:val="auto"/>
              </w:rPr>
              <w:t>(Primary Standard Industrial</w:t>
            </w:r>
          </w:p>
        </w:tc>
        <w:tc>
          <w:tcPr>
            <w:tcW w:w="700" w:type="dxa"/>
            <w:vAlign w:val="bottom"/>
          </w:tcPr>
          <w:p>
            <w:pPr>
              <w:spacing w:after="0"/>
              <w:rPr>
                <w:sz w:val="10"/>
                <w:szCs w:val="10"/>
                <w:color w:val="auto"/>
              </w:rPr>
            </w:pPr>
          </w:p>
        </w:tc>
        <w:tc>
          <w:tcPr>
            <w:tcW w:w="172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color w:val="auto"/>
              </w:rPr>
              <w:t>(IRS Employer</w:t>
            </w:r>
          </w:p>
        </w:tc>
        <w:tc>
          <w:tcPr>
            <w:tcW w:w="360" w:type="dxa"/>
            <w:vAlign w:val="bottom"/>
          </w:tcPr>
          <w:p>
            <w:pPr>
              <w:spacing w:after="0"/>
              <w:rPr>
                <w:sz w:val="10"/>
                <w:szCs w:val="10"/>
                <w:color w:val="auto"/>
              </w:rPr>
            </w:pPr>
          </w:p>
        </w:tc>
      </w:tr>
      <w:tr>
        <w:trPr>
          <w:trHeight w:val="160"/>
        </w:trPr>
        <w:tc>
          <w:tcPr>
            <w:tcW w:w="240" w:type="dxa"/>
            <w:vAlign w:val="bottom"/>
          </w:tcPr>
          <w:p>
            <w:pPr>
              <w:spacing w:after="0"/>
              <w:rPr>
                <w:sz w:val="13"/>
                <w:szCs w:val="13"/>
                <w:color w:val="auto"/>
              </w:rPr>
            </w:pPr>
          </w:p>
        </w:tc>
        <w:tc>
          <w:tcPr>
            <w:tcW w:w="19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Incorporation or Organization)</w:t>
            </w:r>
            <w:r>
              <w:rPr>
                <w:rFonts w:ascii="Times New Roman" w:cs="Times New Roman" w:eastAsia="Times New Roman" w:hAnsi="Times New Roman"/>
                <w:sz w:val="12"/>
                <w:szCs w:val="12"/>
                <w:color w:val="auto"/>
              </w:rPr>
              <w:t>​</w:t>
            </w:r>
          </w:p>
        </w:tc>
        <w:tc>
          <w:tcPr>
            <w:tcW w:w="600" w:type="dxa"/>
            <w:vAlign w:val="bottom"/>
          </w:tcPr>
          <w:p>
            <w:pPr>
              <w:spacing w:after="0"/>
              <w:rPr>
                <w:sz w:val="13"/>
                <w:szCs w:val="13"/>
                <w:color w:val="auto"/>
              </w:rPr>
            </w:pPr>
          </w:p>
        </w:tc>
        <w:tc>
          <w:tcPr>
            <w:tcW w:w="19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Classification Code Number)</w:t>
            </w:r>
            <w:r>
              <w:rPr>
                <w:rFonts w:ascii="Times New Roman" w:cs="Times New Roman" w:eastAsia="Times New Roman" w:hAnsi="Times New Roman"/>
                <w:sz w:val="12"/>
                <w:szCs w:val="12"/>
                <w:color w:val="auto"/>
              </w:rPr>
              <w:t>​</w:t>
            </w:r>
          </w:p>
        </w:tc>
        <w:tc>
          <w:tcPr>
            <w:tcW w:w="7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Identification Number)</w:t>
            </w:r>
          </w:p>
        </w:tc>
        <w:tc>
          <w:tcPr>
            <w:tcW w:w="360" w:type="dxa"/>
            <w:vAlign w:val="bottom"/>
          </w:tcPr>
          <w:p>
            <w:pPr>
              <w:spacing w:after="0"/>
              <w:rPr>
                <w:sz w:val="13"/>
                <w:szCs w:val="13"/>
                <w:color w:val="auto"/>
              </w:rPr>
            </w:pPr>
          </w:p>
        </w:tc>
      </w:tr>
    </w:tbl>
    <w:p>
      <w:pPr>
        <w:spacing w:after="0" w:line="147" w:lineRule="exact"/>
        <w:rPr>
          <w:sz w:val="24"/>
          <w:szCs w:val="24"/>
          <w:color w:val="auto"/>
        </w:rPr>
      </w:pPr>
    </w:p>
    <w:p>
      <w:pPr>
        <w:sectPr>
          <w:pgSz w:w="11900" w:h="16838" w:orient="portrait"/>
          <w:cols w:equalWidth="0" w:num="1">
            <w:col w:w="9019"/>
          </w:cols>
          <w:pgMar w:left="1440" w:top="186" w:right="1440" w:bottom="1440" w:gutter="0" w:footer="0" w:header="0"/>
        </w:sectPr>
      </w:pPr>
    </w:p>
    <w:p>
      <w:pPr>
        <w:jc w:val="center"/>
        <w:ind w:left="840"/>
        <w:spacing w:after="0"/>
        <w:rPr>
          <w:sz w:val="20"/>
          <w:szCs w:val="20"/>
          <w:color w:val="auto"/>
        </w:rPr>
      </w:pPr>
      <w:r>
        <w:rPr>
          <w:rFonts w:ascii="Times New Roman" w:cs="Times New Roman" w:eastAsia="Times New Roman" w:hAnsi="Times New Roman"/>
          <w:sz w:val="12"/>
          <w:szCs w:val="12"/>
          <w:b w:val="1"/>
          <w:bCs w:val="1"/>
          <w:color w:val="auto"/>
        </w:rPr>
        <w:t>401 North Hershey Rd</w:t>
      </w:r>
    </w:p>
    <w:p>
      <w:pPr>
        <w:spacing w:after="0" w:line="8"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12"/>
          <w:szCs w:val="12"/>
          <w:b w:val="1"/>
          <w:bCs w:val="1"/>
          <w:color w:val="auto"/>
        </w:rPr>
        <w:t>Bloomington, Illinois 61704</w:t>
      </w:r>
    </w:p>
    <w:p>
      <w:pPr>
        <w:jc w:val="center"/>
        <w:ind w:left="860"/>
        <w:spacing w:after="0"/>
        <w:rPr>
          <w:sz w:val="20"/>
          <w:szCs w:val="20"/>
          <w:color w:val="auto"/>
        </w:rPr>
      </w:pPr>
      <w:r>
        <w:rPr>
          <w:rFonts w:ascii="Times New Roman" w:cs="Times New Roman" w:eastAsia="Times New Roman" w:hAnsi="Times New Roman"/>
          <w:sz w:val="12"/>
          <w:szCs w:val="12"/>
          <w:b w:val="1"/>
          <w:bCs w:val="1"/>
          <w:color w:val="auto"/>
        </w:rPr>
        <w:t>309-662-4444</w:t>
      </w:r>
    </w:p>
    <w:p>
      <w:pPr>
        <w:spacing w:after="0" w:line="8" w:lineRule="exact"/>
        <w:rPr>
          <w:sz w:val="24"/>
          <w:szCs w:val="24"/>
          <w:color w:val="auto"/>
        </w:rPr>
      </w:pPr>
    </w:p>
    <w:p>
      <w:pPr>
        <w:jc w:val="center"/>
        <w:ind w:left="860"/>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p>
      <w:pPr>
        <w:spacing w:after="0" w:line="51"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12"/>
          <w:szCs w:val="12"/>
          <w:b w:val="1"/>
          <w:bCs w:val="1"/>
          <w:color w:val="auto"/>
        </w:rPr>
        <w:t>J. Lance Carter</w:t>
      </w:r>
    </w:p>
    <w:p>
      <w:pPr>
        <w:spacing w:after="0" w:line="8"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12"/>
          <w:szCs w:val="12"/>
          <w:b w:val="1"/>
          <w:bCs w:val="1"/>
          <w:color w:val="auto"/>
        </w:rPr>
        <w:t>President and Chief Executive Officer</w:t>
      </w:r>
    </w:p>
    <w:p>
      <w:pPr>
        <w:jc w:val="center"/>
        <w:ind w:left="840"/>
        <w:spacing w:after="0"/>
        <w:rPr>
          <w:sz w:val="20"/>
          <w:szCs w:val="20"/>
          <w:color w:val="auto"/>
        </w:rPr>
      </w:pPr>
      <w:r>
        <w:rPr>
          <w:rFonts w:ascii="Times New Roman" w:cs="Times New Roman" w:eastAsia="Times New Roman" w:hAnsi="Times New Roman"/>
          <w:sz w:val="12"/>
          <w:szCs w:val="12"/>
          <w:b w:val="1"/>
          <w:bCs w:val="1"/>
          <w:color w:val="auto"/>
        </w:rPr>
        <w:t>401 North Hershey Rd</w:t>
      </w:r>
    </w:p>
    <w:p>
      <w:pPr>
        <w:spacing w:after="0" w:line="2"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12"/>
          <w:szCs w:val="12"/>
          <w:b w:val="1"/>
          <w:bCs w:val="1"/>
          <w:color w:val="auto"/>
        </w:rPr>
        <w:t>Bloomington, Illinois 61704</w:t>
      </w:r>
    </w:p>
    <w:p>
      <w:pPr>
        <w:jc w:val="center"/>
        <w:ind w:left="860"/>
        <w:spacing w:after="0"/>
        <w:rPr>
          <w:sz w:val="20"/>
          <w:szCs w:val="20"/>
          <w:color w:val="auto"/>
        </w:rPr>
      </w:pPr>
      <w:r>
        <w:rPr>
          <w:rFonts w:ascii="Times New Roman" w:cs="Times New Roman" w:eastAsia="Times New Roman" w:hAnsi="Times New Roman"/>
          <w:sz w:val="12"/>
          <w:szCs w:val="12"/>
          <w:b w:val="1"/>
          <w:bCs w:val="1"/>
          <w:color w:val="auto"/>
        </w:rPr>
        <w:t>(888) 897-2276</w:t>
      </w:r>
    </w:p>
    <w:p>
      <w:pPr>
        <w:spacing w:after="0" w:line="8" w:lineRule="exact"/>
        <w:rPr>
          <w:sz w:val="24"/>
          <w:szCs w:val="24"/>
          <w:color w:val="auto"/>
        </w:rPr>
      </w:pPr>
    </w:p>
    <w:p>
      <w:pPr>
        <w:jc w:val="center"/>
        <w:ind w:left="860"/>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p>
      <w:pPr>
        <w:spacing w:after="0" w:line="5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2"/>
          <w:szCs w:val="12"/>
          <w:b w:val="1"/>
          <w:bCs w:val="1"/>
          <w:color w:val="auto"/>
        </w:rPr>
        <w:t>Copies to:</w:t>
      </w:r>
    </w:p>
    <w:p>
      <w:pPr>
        <w:spacing w:after="0" w:line="58"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12"/>
          <w:szCs w:val="12"/>
          <w:b w:val="1"/>
          <w:bCs w:val="1"/>
          <w:color w:val="auto"/>
        </w:rPr>
        <w:t>Abdul R. Mitha</w:t>
      </w:r>
    </w:p>
    <w:p>
      <w:pPr>
        <w:spacing w:after="0" w:line="12"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12"/>
          <w:szCs w:val="12"/>
          <w:b w:val="1"/>
          <w:bCs w:val="1"/>
          <w:color w:val="auto"/>
        </w:rPr>
        <w:t>Barack Ferrazzano Kirschbaum &amp; Nagelberg LLP</w:t>
      </w:r>
    </w:p>
    <w:p>
      <w:pPr>
        <w:spacing w:after="0" w:line="2"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12"/>
          <w:szCs w:val="12"/>
          <w:b w:val="1"/>
          <w:bCs w:val="1"/>
          <w:color w:val="auto"/>
        </w:rPr>
        <w:t>200 West Madison Street, Suite 3900</w:t>
      </w:r>
    </w:p>
    <w:p>
      <w:pPr>
        <w:ind w:left="3920"/>
        <w:spacing w:after="0" w:line="232" w:lineRule="auto"/>
        <w:rPr>
          <w:sz w:val="20"/>
          <w:szCs w:val="20"/>
          <w:color w:val="auto"/>
        </w:rPr>
      </w:pPr>
      <w:r>
        <w:rPr>
          <w:rFonts w:ascii="Times New Roman" w:cs="Times New Roman" w:eastAsia="Times New Roman" w:hAnsi="Times New Roman"/>
          <w:sz w:val="12"/>
          <w:szCs w:val="12"/>
          <w:b w:val="1"/>
          <w:bCs w:val="1"/>
          <w:color w:val="auto"/>
        </w:rPr>
        <w:t>Chicago, Illinois 60606</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2"/>
          <w:szCs w:val="12"/>
          <w:b w:val="1"/>
          <w:bCs w:val="1"/>
          <w:color w:val="auto"/>
        </w:rPr>
        <w:t>(312) 984-3100</w:t>
      </w:r>
    </w:p>
    <w:p>
      <w:pPr>
        <w:spacing w:after="0" w:line="52" w:lineRule="exact"/>
        <w:rPr>
          <w:sz w:val="24"/>
          <w:szCs w:val="24"/>
          <w:color w:val="auto"/>
        </w:rPr>
      </w:pPr>
    </w:p>
    <w:p>
      <w:pPr>
        <w:ind w:left="780" w:right="360" w:firstLine="275"/>
        <w:spacing w:after="0" w:line="275" w:lineRule="auto"/>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to the public: </w:t>
      </w:r>
      <w:r>
        <w:rPr>
          <w:rFonts w:ascii="Times New Roman" w:cs="Times New Roman" w:eastAsia="Times New Roman" w:hAnsi="Times New Roman"/>
          <w:sz w:val="12"/>
          <w:szCs w:val="12"/>
          <w:color w:val="auto"/>
        </w:rPr>
        <w:t>As soon as practicable after this registration statement becomes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effective.</w:t>
      </w:r>
    </w:p>
    <w:p>
      <w:pPr>
        <w:spacing w:after="0" w:line="16" w:lineRule="exact"/>
        <w:rPr>
          <w:sz w:val="24"/>
          <w:szCs w:val="24"/>
          <w:color w:val="auto"/>
        </w:rPr>
      </w:pPr>
    </w:p>
    <w:p>
      <w:pPr>
        <w:ind w:left="780" w:right="260" w:firstLine="275"/>
        <w:spacing w:after="0" w:line="163" w:lineRule="exact"/>
        <w:rPr>
          <w:sz w:val="20"/>
          <w:szCs w:val="20"/>
          <w:color w:val="auto"/>
        </w:rPr>
      </w:pPr>
      <w:r>
        <w:rPr>
          <w:rFonts w:ascii="Times New Roman" w:cs="Times New Roman" w:eastAsia="Times New Roman" w:hAnsi="Times New Roman"/>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16" w:lineRule="exact"/>
        <w:rPr>
          <w:sz w:val="24"/>
          <w:szCs w:val="24"/>
          <w:color w:val="auto"/>
        </w:rPr>
      </w:pPr>
    </w:p>
    <w:p>
      <w:pPr>
        <w:ind w:left="780" w:firstLine="275"/>
        <w:spacing w:after="0" w:line="157"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6" w:lineRule="exact"/>
        <w:rPr>
          <w:sz w:val="24"/>
          <w:szCs w:val="24"/>
          <w:color w:val="auto"/>
        </w:rPr>
      </w:pPr>
    </w:p>
    <w:p>
      <w:pPr>
        <w:ind w:left="780" w:right="120" w:firstLine="275"/>
        <w:spacing w:after="0" w:line="163"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6" w:lineRule="exact"/>
        <w:rPr>
          <w:sz w:val="24"/>
          <w:szCs w:val="24"/>
          <w:color w:val="auto"/>
        </w:rPr>
      </w:pPr>
    </w:p>
    <w:p>
      <w:pPr>
        <w:jc w:val="both"/>
        <w:ind w:left="780" w:right="20" w:firstLine="275"/>
        <w:spacing w:after="0" w:line="261"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1060" w:type="dxa"/>
        <w:tblCellMar>
          <w:top w:w="0" w:type="dxa"/>
          <w:left w:w="0" w:type="dxa"/>
          <w:bottom w:w="0" w:type="dxa"/>
          <w:right w:w="0" w:type="dxa"/>
        </w:tblCellMar>
      </w:tblPr>
      <w:tr>
        <w:trPr>
          <w:trHeight w:val="140"/>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vMerge w:val="restart"/>
          </w:tcPr>
          <w:p>
            <w:pPr>
              <w:ind w:left="80"/>
              <w:spacing w:after="0" w:line="121" w:lineRule="exact"/>
              <w:rPr>
                <w:sz w:val="20"/>
                <w:szCs w:val="20"/>
                <w:color w:val="auto"/>
              </w:rPr>
            </w:pPr>
            <w:r>
              <w:rPr>
                <w:rFonts w:ascii="MS PGothic" w:cs="MS PGothic" w:eastAsia="MS PGothic" w:hAnsi="MS PGothic"/>
                <w:sz w:val="12"/>
                <w:szCs w:val="12"/>
                <w:color w:val="auto"/>
              </w:rPr>
              <w:t>☐</w:t>
            </w:r>
          </w:p>
        </w:tc>
        <w:tc>
          <w:tcPr>
            <w:tcW w:w="1440" w:type="dxa"/>
            <w:vAlign w:val="bottom"/>
          </w:tcPr>
          <w:p>
            <w:pPr>
              <w:ind w:left="13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Accelerated filer</w:t>
            </w:r>
          </w:p>
        </w:tc>
        <w:tc>
          <w:tcPr>
            <w:tcW w:w="240" w:type="dxa"/>
            <w:vAlign w:val="bottom"/>
            <w:vMerge w:val="restart"/>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10"/>
        </w:trPr>
        <w:tc>
          <w:tcPr>
            <w:tcW w:w="1240" w:type="dxa"/>
            <w:vAlign w:val="bottom"/>
          </w:tcPr>
          <w:p>
            <w:pPr>
              <w:spacing w:after="0" w:line="11" w:lineRule="exact"/>
              <w:rPr>
                <w:sz w:val="20"/>
                <w:szCs w:val="20"/>
                <w:color w:val="auto"/>
              </w:rPr>
            </w:pPr>
            <w:r>
              <w:rPr>
                <w:rFonts w:ascii="Times New Roman" w:cs="Times New Roman" w:eastAsia="Times New Roman" w:hAnsi="Times New Roman"/>
                <w:sz w:val="1"/>
                <w:szCs w:val="1"/>
                <w:color w:val="auto"/>
              </w:rPr>
              <w:t>Large accelerated filer</w:t>
            </w:r>
          </w:p>
        </w:tc>
        <w:tc>
          <w:tcPr>
            <w:tcW w:w="1580" w:type="dxa"/>
            <w:vAlign w:val="bottom"/>
            <w:vMerge w:val="continue"/>
          </w:tcPr>
          <w:p>
            <w:pPr>
              <w:spacing w:after="0" w:line="20" w:lineRule="exact"/>
              <w:rPr>
                <w:sz w:val="1"/>
                <w:szCs w:val="1"/>
                <w:color w:val="auto"/>
              </w:rPr>
            </w:pPr>
          </w:p>
        </w:tc>
        <w:tc>
          <w:tcPr>
            <w:tcW w:w="1440" w:type="dxa"/>
            <w:vAlign w:val="bottom"/>
            <w:vMerge w:val="restart"/>
          </w:tcPr>
          <w:p>
            <w:pPr>
              <w:ind w:left="13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ind w:lef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54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240" w:type="dxa"/>
            <w:vAlign w:val="bottom"/>
          </w:tcPr>
          <w:p>
            <w:pPr>
              <w:spacing w:after="0" w:line="114" w:lineRule="exact"/>
              <w:rPr>
                <w:sz w:val="20"/>
                <w:szCs w:val="20"/>
                <w:color w:val="auto"/>
              </w:rPr>
            </w:pPr>
            <w:r>
              <w:rPr>
                <w:rFonts w:ascii="Times New Roman" w:cs="Times New Roman" w:eastAsia="Times New Roman" w:hAnsi="Times New Roman"/>
                <w:sz w:val="12"/>
                <w:szCs w:val="12"/>
                <w:color w:val="auto"/>
              </w:rPr>
              <w:t>​</w:t>
            </w:r>
          </w:p>
        </w:tc>
        <w:tc>
          <w:tcPr>
            <w:tcW w:w="1580" w:type="dxa"/>
            <w:vAlign w:val="bottom"/>
            <w:vMerge w:val="restart"/>
          </w:tcPr>
          <w:p>
            <w:pPr>
              <w:ind w:left="80"/>
              <w:spacing w:after="0" w:line="121" w:lineRule="exact"/>
              <w:rPr>
                <w:sz w:val="20"/>
                <w:szCs w:val="20"/>
                <w:color w:val="auto"/>
              </w:rPr>
            </w:pPr>
            <w:r>
              <w:rPr>
                <w:rFonts w:ascii="MS PGothic" w:cs="MS PGothic" w:eastAsia="MS PGothic" w:hAnsi="MS PGothic"/>
                <w:sz w:val="12"/>
                <w:szCs w:val="12"/>
                <w:color w:val="auto"/>
              </w:rPr>
              <w:t>☐</w:t>
            </w:r>
          </w:p>
        </w:tc>
        <w:tc>
          <w:tcPr>
            <w:tcW w:w="144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40" w:type="dxa"/>
            <w:vAlign w:val="bottom"/>
            <w:vMerge w:val="restart"/>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31"/>
        </w:trPr>
        <w:tc>
          <w:tcPr>
            <w:tcW w:w="1240" w:type="dxa"/>
            <w:vAlign w:val="bottom"/>
          </w:tcPr>
          <w:p>
            <w:pPr>
              <w:spacing w:after="0" w:line="31" w:lineRule="exact"/>
              <w:rPr>
                <w:sz w:val="20"/>
                <w:szCs w:val="20"/>
                <w:color w:val="auto"/>
              </w:rPr>
            </w:pPr>
            <w:r>
              <w:rPr>
                <w:rFonts w:ascii="Times New Roman" w:cs="Times New Roman" w:eastAsia="Times New Roman" w:hAnsi="Times New Roman"/>
                <w:sz w:val="3"/>
                <w:szCs w:val="3"/>
                <w:color w:val="auto"/>
              </w:rPr>
              <w:t>Non-accelerated filer</w:t>
            </w:r>
          </w:p>
        </w:tc>
        <w:tc>
          <w:tcPr>
            <w:tcW w:w="1580" w:type="dxa"/>
            <w:vAlign w:val="bottom"/>
            <w:vMerge w:val="continue"/>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5"/>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tcPr>
          <w:p>
            <w:pPr>
              <w:spacing w:after="0"/>
              <w:rPr>
                <w:sz w:val="24"/>
                <w:szCs w:val="24"/>
                <w:color w:val="auto"/>
              </w:rPr>
            </w:pPr>
          </w:p>
        </w:tc>
        <w:tc>
          <w:tcPr>
            <w:tcW w:w="3060" w:type="dxa"/>
            <w:vAlign w:val="bottom"/>
            <w:gridSpan w:val="3"/>
          </w:tcPr>
          <w:p>
            <w:pPr>
              <w:ind w:left="1380"/>
              <w:spacing w:after="0"/>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2"/>
                <w:szCs w:val="12"/>
                <w:color w:val="auto"/>
              </w:rPr>
              <w:t xml:space="preserve"> Emerging growth company</w:t>
            </w:r>
          </w:p>
        </w:tc>
        <w:tc>
          <w:tcPr>
            <w:tcW w:w="2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rPr>
          <w:sz w:val="20"/>
          <w:szCs w:val="20"/>
          <w:color w:val="auto"/>
        </w:rPr>
      </w:pPr>
      <w:r>
        <w:rPr>
          <w:rFonts w:ascii="Times New Roman" w:cs="Times New Roman" w:eastAsia="Times New Roman" w:hAnsi="Times New Roman"/>
          <w:sz w:val="12"/>
          <w:szCs w:val="12"/>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196" w:lineRule="exact"/>
        <w:rPr>
          <w:sz w:val="24"/>
          <w:szCs w:val="24"/>
          <w:color w:val="auto"/>
        </w:rPr>
      </w:pPr>
    </w:p>
    <w:p>
      <w:pPr>
        <w:sectPr>
          <w:pgSz w:w="11900" w:h="16838" w:orient="portrait"/>
          <w:cols w:equalWidth="0" w:num="2">
            <w:col w:w="8140" w:space="80"/>
            <w:col w:w="799"/>
          </w:cols>
          <w:pgMar w:left="1440" w:top="186" w:right="1440" w:bottom="1440" w:gutter="0" w:footer="0" w:header="0"/>
          <w:type w:val="continuous"/>
        </w:sectPr>
      </w:pPr>
    </w:p>
    <w:p>
      <w:pPr>
        <w:ind w:left="780" w:right="1299" w:firstLine="275"/>
        <w:spacing w:after="0" w:line="157"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6"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2"/>
          <w:szCs w:val="12"/>
          <w:color w:val="auto"/>
        </w:rPr>
        <w:t>If applicable, place an X in the box to designate the appropriate rule provision relied upon in conducting this transaction:</w:t>
      </w:r>
    </w:p>
    <w:p>
      <w:pPr>
        <w:spacing w:after="0" w:line="42" w:lineRule="exact"/>
        <w:rPr>
          <w:sz w:val="24"/>
          <w:szCs w:val="24"/>
          <w:color w:val="auto"/>
        </w:rPr>
      </w:pPr>
    </w:p>
    <w:p>
      <w:pPr>
        <w:ind w:left="1060"/>
        <w:spacing w:after="0" w:line="138" w:lineRule="exact"/>
        <w:tabs>
          <w:tab w:leader="none" w:pos="5160" w:val="left"/>
        </w:tabs>
        <w:rPr>
          <w:sz w:val="20"/>
          <w:szCs w:val="20"/>
          <w:color w:val="auto"/>
        </w:rPr>
      </w:pPr>
      <w:r>
        <w:rPr>
          <w:rFonts w:ascii="Times New Roman" w:cs="Times New Roman" w:eastAsia="Times New Roman" w:hAnsi="Times New Roman"/>
          <w:sz w:val="12"/>
          <w:szCs w:val="12"/>
          <w:color w:val="auto"/>
        </w:rPr>
        <w:t>Exchange Act Rule 13e-4(i) (Cross-Border Issuer Tender Offer)</w:t>
      </w:r>
      <w:r>
        <w:rPr>
          <w:sz w:val="20"/>
          <w:szCs w:val="20"/>
          <w:color w:val="auto"/>
        </w:rPr>
        <w:tab/>
      </w:r>
      <w:r>
        <w:rPr>
          <w:rFonts w:ascii="MS PGothic" w:cs="MS PGothic" w:eastAsia="MS PGothic" w:hAnsi="MS PGothic"/>
          <w:sz w:val="12"/>
          <w:szCs w:val="12"/>
          <w:color w:val="auto"/>
        </w:rPr>
        <w:t>☐</w:t>
      </w:r>
    </w:p>
    <w:p>
      <w:pPr>
        <w:spacing w:after="0" w:line="69" w:lineRule="exact"/>
        <w:rPr>
          <w:sz w:val="24"/>
          <w:szCs w:val="24"/>
          <w:color w:val="auto"/>
        </w:rPr>
      </w:pPr>
    </w:p>
    <w:p>
      <w:pPr>
        <w:ind w:left="1060"/>
        <w:spacing w:after="0" w:line="138" w:lineRule="exact"/>
        <w:tabs>
          <w:tab w:leader="none" w:pos="5160" w:val="left"/>
        </w:tabs>
        <w:rPr>
          <w:sz w:val="20"/>
          <w:szCs w:val="20"/>
          <w:color w:val="auto"/>
        </w:rPr>
      </w:pPr>
      <w:r>
        <w:rPr>
          <w:rFonts w:ascii="Times New Roman" w:cs="Times New Roman" w:eastAsia="Times New Roman" w:hAnsi="Times New Roman"/>
          <w:sz w:val="12"/>
          <w:szCs w:val="12"/>
          <w:color w:val="auto"/>
        </w:rPr>
        <w:t>Exchange Act Rule 14d-1(d) (Cross-Border Third-Party Tender Offer)</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144780</wp:posOffset>
            </wp:positionV>
            <wp:extent cx="9423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2340" cy="6350"/>
                    </a:xfrm>
                    <a:prstGeom prst="rect">
                      <a:avLst/>
                    </a:prstGeom>
                    <a:noFill/>
                  </pic:spPr>
                </pic:pic>
              </a:graphicData>
            </a:graphic>
          </wp:anchor>
        </w:drawing>
      </w:r>
    </w:p>
    <w:p>
      <w:pPr>
        <w:spacing w:after="0" w:line="299" w:lineRule="exact"/>
        <w:rPr>
          <w:sz w:val="24"/>
          <w:szCs w:val="24"/>
          <w:color w:val="auto"/>
        </w:rPr>
      </w:pPr>
    </w:p>
    <w:p>
      <w:pPr>
        <w:ind w:left="780" w:right="999" w:firstLine="275"/>
        <w:spacing w:after="0" w:line="252"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501015</wp:posOffset>
            </wp:positionH>
            <wp:positionV relativeFrom="paragraph">
              <wp:posOffset>52070</wp:posOffset>
            </wp:positionV>
            <wp:extent cx="47174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17415" cy="6350"/>
                    </a:xfrm>
                    <a:prstGeom prst="rect">
                      <a:avLst/>
                    </a:prstGeom>
                    <a:noFill/>
                  </pic:spPr>
                </pic:pic>
              </a:graphicData>
            </a:graphic>
          </wp:anchor>
        </w:drawing>
      </w:r>
    </w:p>
    <w:p>
      <w:pPr>
        <w:spacing w:after="0" w:line="8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501015</wp:posOffset>
            </wp:positionH>
            <wp:positionV relativeFrom="paragraph">
              <wp:posOffset>-4445</wp:posOffset>
            </wp:positionV>
            <wp:extent cx="471741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7415" cy="1333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184785</wp:posOffset>
            </wp:positionV>
            <wp:extent cx="52139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86" w:right="1440" w:bottom="1440" w:gutter="0" w:footer="0" w:header="0"/>
          <w:type w:val="continuous"/>
        </w:sectPr>
      </w:pPr>
    </w:p>
    <w:bookmarkStart w:id="1" w:name="page2"/>
    <w:bookmarkEnd w:id="1"/>
    <w:p>
      <w:pPr>
        <w:ind w:left="420"/>
        <w:spacing w:after="0"/>
        <w:rPr>
          <w:sz w:val="20"/>
          <w:szCs w:val="20"/>
          <w:color w:val="auto"/>
        </w:rPr>
      </w:pPr>
      <w:r>
        <w:rPr>
          <w:rFonts w:ascii="Calibri" w:cs="Calibri" w:eastAsia="Calibri" w:hAnsi="Calibri"/>
          <w:sz w:val="10"/>
          <w:szCs w:val="10"/>
          <w:color w:val="003366"/>
        </w:rPr>
        <w:t>TABLE OF CONTENTS</w:t>
      </w:r>
    </w:p>
    <w:p>
      <w:pPr>
        <w:sectPr>
          <w:pgSz w:w="11900" w:h="16838" w:orient="portrait"/>
          <w:cols w:equalWidth="0" w:num="1">
            <w:col w:w="9019"/>
          </w:cols>
          <w:pgMar w:left="1440" w:top="108" w:right="1440" w:bottom="1440" w:gutter="0" w:footer="0" w:header="0"/>
        </w:sectPr>
      </w:pPr>
    </w:p>
    <w:p>
      <w:pPr>
        <w:spacing w:after="0" w:line="360" w:lineRule="exact"/>
        <w:rPr>
          <w:sz w:val="20"/>
          <w:szCs w:val="20"/>
          <w:color w:val="auto"/>
        </w:rPr>
      </w:pPr>
    </w:p>
    <w:tbl>
      <w:tblPr>
        <w:tblLayout w:type="fixed"/>
        <w:tblInd w:w="1080" w:type="dxa"/>
        <w:tblCellMar>
          <w:top w:w="0" w:type="dxa"/>
          <w:left w:w="0" w:type="dxa"/>
          <w:bottom w:w="0" w:type="dxa"/>
          <w:right w:w="0" w:type="dxa"/>
        </w:tblCellMar>
      </w:tblPr>
      <w:tr>
        <w:trPr>
          <w:trHeight w:val="2318"/>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until the registration statement filed with the</w:t>
            </w:r>
          </w:p>
        </w:tc>
        <w:tc>
          <w:tcPr>
            <w:tcW w:w="240" w:type="dxa"/>
            <w:vAlign w:val="bottom"/>
            <w:textDirection w:val="btLr"/>
          </w:tcPr>
          <w:p>
            <w:pPr>
              <w:ind w:left="28"/>
              <w:spacing w:after="0"/>
              <w:rPr>
                <w:sz w:val="20"/>
                <w:szCs w:val="20"/>
                <w:color w:val="auto"/>
              </w:rPr>
            </w:pPr>
            <w:r>
              <w:rPr>
                <w:rFonts w:ascii="Arial" w:cs="Arial" w:eastAsia="Arial" w:hAnsi="Arial"/>
                <w:sz w:val="11"/>
                <w:szCs w:val="11"/>
                <w:b w:val="1"/>
                <w:bCs w:val="1"/>
                <w:color w:val="FC0014"/>
                <w:w w:val="97"/>
              </w:rPr>
              <w:t>these securities in any jurisdiction where the</w:t>
            </w:r>
          </w:p>
        </w:tc>
      </w:tr>
      <w:tr>
        <w:trPr>
          <w:trHeight w:val="3140"/>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not complete the exchange offer and issue these securities</w:t>
            </w:r>
          </w:p>
        </w:tc>
        <w:tc>
          <w:tcPr>
            <w:tcW w:w="240" w:type="dxa"/>
            <w:vAlign w:val="bottom"/>
            <w:textDirection w:val="btLr"/>
          </w:tcPr>
          <w:p>
            <w:pPr>
              <w:ind w:left="28"/>
              <w:spacing w:after="0"/>
              <w:rPr>
                <w:sz w:val="20"/>
                <w:szCs w:val="20"/>
                <w:color w:val="auto"/>
              </w:rPr>
            </w:pPr>
            <w:r>
              <w:rPr>
                <w:rFonts w:ascii="Arial" w:cs="Arial" w:eastAsia="Arial" w:hAnsi="Arial"/>
                <w:sz w:val="11"/>
                <w:szCs w:val="11"/>
                <w:b w:val="1"/>
                <w:bCs w:val="1"/>
                <w:color w:val="FC0014"/>
                <w:w w:val="98"/>
              </w:rPr>
              <w:t>to sell these securities and it is not soliciting an offer to buy</w:t>
            </w:r>
          </w:p>
        </w:tc>
      </w:tr>
      <w:tr>
        <w:trPr>
          <w:trHeight w:val="431"/>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6"/>
              </w:rPr>
              <w:t>We may</w:t>
            </w:r>
          </w:p>
        </w:tc>
        <w:tc>
          <w:tcPr>
            <w:tcW w:w="240" w:type="dxa"/>
            <w:vAlign w:val="bottom"/>
            <w:textDirection w:val="btLr"/>
          </w:tcPr>
          <w:p>
            <w:pPr>
              <w:ind w:left="28"/>
              <w:spacing w:after="0"/>
              <w:rPr>
                <w:sz w:val="20"/>
                <w:szCs w:val="20"/>
                <w:color w:val="auto"/>
              </w:rPr>
            </w:pPr>
            <w:r>
              <w:rPr>
                <w:rFonts w:ascii="Arial" w:cs="Arial" w:eastAsia="Arial" w:hAnsi="Arial"/>
                <w:sz w:val="11"/>
                <w:szCs w:val="11"/>
                <w:b w:val="1"/>
                <w:bCs w:val="1"/>
                <w:color w:val="FC0014"/>
                <w:w w:val="99"/>
              </w:rPr>
              <w:t>an offer</w:t>
            </w:r>
          </w:p>
        </w:tc>
      </w:tr>
      <w:tr>
        <w:trPr>
          <w:trHeight w:val="938"/>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may be changed.</w:t>
            </w:r>
          </w:p>
        </w:tc>
        <w:tc>
          <w:tcPr>
            <w:tcW w:w="240" w:type="dxa"/>
            <w:vAlign w:val="bottom"/>
            <w:textDirection w:val="btLr"/>
          </w:tcPr>
          <w:p>
            <w:pPr>
              <w:ind w:left="28"/>
              <w:spacing w:after="0"/>
              <w:rPr>
                <w:sz w:val="20"/>
                <w:szCs w:val="20"/>
                <w:color w:val="auto"/>
              </w:rPr>
            </w:pPr>
            <w:r>
              <w:rPr>
                <w:rFonts w:ascii="Arial" w:cs="Arial" w:eastAsia="Arial" w:hAnsi="Arial"/>
                <w:sz w:val="11"/>
                <w:szCs w:val="11"/>
                <w:b w:val="1"/>
                <w:bCs w:val="1"/>
                <w:color w:val="FC0014"/>
                <w:w w:val="98"/>
              </w:rPr>
              <w:t>prospectus is not</w:t>
            </w:r>
          </w:p>
        </w:tc>
      </w:tr>
      <w:tr>
        <w:trPr>
          <w:trHeight w:val="2873"/>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The information in this prospectus is not complete and</w:t>
            </w:r>
          </w:p>
        </w:tc>
        <w:tc>
          <w:tcPr>
            <w:tcW w:w="240" w:type="dxa"/>
            <w:vAlign w:val="bottom"/>
            <w:textDirection w:val="btLr"/>
          </w:tcPr>
          <w:p>
            <w:pPr>
              <w:ind w:left="125"/>
              <w:spacing w:after="0"/>
              <w:rPr>
                <w:sz w:val="20"/>
                <w:szCs w:val="20"/>
                <w:color w:val="auto"/>
              </w:rPr>
            </w:pPr>
            <w:r>
              <w:rPr>
                <w:rFonts w:ascii="Arial" w:cs="Arial" w:eastAsia="Arial" w:hAnsi="Arial"/>
                <w:sz w:val="10"/>
                <w:szCs w:val="10"/>
                <w:b w:val="1"/>
                <w:bCs w:val="1"/>
                <w:color w:val="FC0014"/>
                <w:w w:val="73"/>
              </w:rPr>
              <w:t>Securities and Exchange Commission is effective. Thisofferorsaleisnotpermitted.</w:t>
            </w:r>
          </w:p>
        </w:tc>
      </w:tr>
    </w:tbl>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FC0014"/>
        </w:rPr>
        <w:t>SUBJECT TO COMPLETION, DATED MAY 27, 2026</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83"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9"/>
          <w:szCs w:val="19"/>
          <w:b w:val="1"/>
          <w:bCs w:val="1"/>
          <w:color w:val="auto"/>
        </w:rPr>
        <w:t>Offer to Exchange</w:t>
      </w:r>
    </w:p>
    <w:p>
      <w:pPr>
        <w:spacing w:after="0" w:line="80" w:lineRule="exact"/>
        <w:rPr>
          <w:sz w:val="20"/>
          <w:szCs w:val="20"/>
          <w:color w:val="auto"/>
        </w:rPr>
      </w:pPr>
    </w:p>
    <w:p>
      <w:pPr>
        <w:jc w:val="center"/>
        <w:ind w:right="1179"/>
        <w:spacing w:after="0"/>
        <w:rPr>
          <w:sz w:val="20"/>
          <w:szCs w:val="20"/>
          <w:color w:val="auto"/>
        </w:rPr>
      </w:pPr>
      <w:r>
        <w:rPr>
          <w:rFonts w:ascii="Times New Roman" w:cs="Times New Roman" w:eastAsia="Times New Roman" w:hAnsi="Times New Roman"/>
          <w:sz w:val="19"/>
          <w:szCs w:val="19"/>
          <w:b w:val="1"/>
          <w:bCs w:val="1"/>
          <w:color w:val="auto"/>
        </w:rPr>
        <w:t>Up to $85,000,000 aggregate principal amount of</w:t>
      </w:r>
    </w:p>
    <w:p>
      <w:pPr>
        <w:spacing w:after="0" w:line="22" w:lineRule="exact"/>
        <w:rPr>
          <w:sz w:val="20"/>
          <w:szCs w:val="20"/>
          <w:color w:val="auto"/>
        </w:rPr>
      </w:pPr>
    </w:p>
    <w:p>
      <w:pPr>
        <w:jc w:val="center"/>
        <w:ind w:left="760" w:right="1179"/>
        <w:spacing w:after="0" w:line="241" w:lineRule="auto"/>
        <w:rPr>
          <w:sz w:val="20"/>
          <w:szCs w:val="20"/>
          <w:color w:val="auto"/>
        </w:rPr>
      </w:pPr>
      <w:r>
        <w:rPr>
          <w:rFonts w:ascii="Times New Roman" w:cs="Times New Roman" w:eastAsia="Times New Roman" w:hAnsi="Times New Roman"/>
          <w:sz w:val="19"/>
          <w:szCs w:val="19"/>
          <w:b w:val="1"/>
          <w:bCs w:val="1"/>
          <w:color w:val="auto"/>
        </w:rPr>
        <w:t>5.75% Fixed-to-Floating Rate Subordinated Notes due 2036 that have been registered under the Securities Act of 1933 for any and all outstanding unregistered</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b w:val="1"/>
          <w:bCs w:val="1"/>
          <w:color w:val="auto"/>
        </w:rPr>
        <w:t>5.75% Fixed-to-Floating Rate Subordinated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120650</wp:posOffset>
            </wp:positionV>
            <wp:extent cx="94234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2340" cy="6350"/>
                    </a:xfrm>
                    <a:prstGeom prst="rect">
                      <a:avLst/>
                    </a:prstGeom>
                    <a:noFill/>
                  </pic:spPr>
                </pic:pic>
              </a:graphicData>
            </a:graphic>
          </wp:anchor>
        </w:drawing>
      </w:r>
    </w:p>
    <w:p>
      <w:pPr>
        <w:spacing w:after="0" w:line="2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b w:val="1"/>
          <w:bCs w:val="1"/>
          <w:i w:val="1"/>
          <w:iCs w:val="1"/>
          <w:color w:val="auto"/>
        </w:rPr>
        <w:t>The exchange offer will expire at 11:59 p.m., New York City time, on                  , 2026, unless extended.</w:t>
      </w:r>
    </w:p>
    <w:p>
      <w:pPr>
        <w:spacing w:after="0" w:line="81" w:lineRule="exact"/>
        <w:rPr>
          <w:sz w:val="20"/>
          <w:szCs w:val="20"/>
          <w:color w:val="auto"/>
        </w:rPr>
      </w:pPr>
    </w:p>
    <w:p>
      <w:pPr>
        <w:ind w:right="1139" w:firstLine="275"/>
        <w:spacing w:after="0" w:line="239" w:lineRule="auto"/>
        <w:rPr>
          <w:sz w:val="20"/>
          <w:szCs w:val="20"/>
          <w:color w:val="auto"/>
        </w:rPr>
      </w:pPr>
      <w:r>
        <w:rPr>
          <w:rFonts w:ascii="Times New Roman" w:cs="Times New Roman" w:eastAsia="Times New Roman" w:hAnsi="Times New Roman"/>
          <w:sz w:val="14"/>
          <w:szCs w:val="14"/>
          <w:color w:val="auto"/>
        </w:rPr>
        <w:t>We are offering to exchange 5.75% Fixed-to-Floating Rate Subordinated Notes due 2036 that have been registered under the Securities Act of 1933, as amended (“Securities Act”), which we refer to in this prospectus as the “New Notes,” for any and all of our outstanding unregistered 5.75% Fixed-to-Floating Rate Subordinated Notes due 2036 that we issued in a private placement on March 11, 2026, which we refer to in this prospectus as the “Old Notes.” We are making this offer to exchange the New Notes for the Old Notes to satisfy our obligations under a registration rights agreement that we entered into with the purchasers of the Old Notes in connection with our issuance of the Old Notes to those purchasers.</w:t>
      </w:r>
    </w:p>
    <w:p>
      <w:pPr>
        <w:spacing w:after="0" w:line="52" w:lineRule="exact"/>
        <w:rPr>
          <w:sz w:val="20"/>
          <w:szCs w:val="20"/>
          <w:color w:val="auto"/>
        </w:rPr>
      </w:pPr>
    </w:p>
    <w:p>
      <w:pPr>
        <w:ind w:right="1239" w:firstLine="275"/>
        <w:spacing w:after="0" w:line="244" w:lineRule="auto"/>
        <w:rPr>
          <w:sz w:val="20"/>
          <w:szCs w:val="20"/>
          <w:color w:val="auto"/>
        </w:rPr>
      </w:pPr>
      <w:r>
        <w:rPr>
          <w:rFonts w:ascii="Times New Roman" w:cs="Times New Roman" w:eastAsia="Times New Roman" w:hAnsi="Times New Roman"/>
          <w:sz w:val="14"/>
          <w:szCs w:val="14"/>
          <w:color w:val="auto"/>
        </w:rPr>
        <w:t>We will not receive any cash proceeds from this exchange offer. The issuance of the New Notes in exchange for the Old Notes will not result in any increase in our outstanding indebtedness. Old Notes that are not exchanged for New Notes in this exchange offer will remain outstanding. The exchange offer is not subject to any minimum tender condition, but is subject to certain customary conditions.</w:t>
      </w:r>
    </w:p>
    <w:p>
      <w:pPr>
        <w:spacing w:after="0" w:line="46" w:lineRule="exact"/>
        <w:rPr>
          <w:sz w:val="20"/>
          <w:szCs w:val="20"/>
          <w:color w:val="auto"/>
        </w:rPr>
      </w:pPr>
    </w:p>
    <w:p>
      <w:pPr>
        <w:ind w:right="1139" w:firstLine="275"/>
        <w:spacing w:after="0" w:line="238" w:lineRule="auto"/>
        <w:rPr>
          <w:sz w:val="20"/>
          <w:szCs w:val="20"/>
          <w:color w:val="auto"/>
        </w:rPr>
      </w:pPr>
      <w:r>
        <w:rPr>
          <w:rFonts w:ascii="Times New Roman" w:cs="Times New Roman" w:eastAsia="Times New Roman" w:hAnsi="Times New Roman"/>
          <w:sz w:val="14"/>
          <w:szCs w:val="14"/>
          <w:color w:val="auto"/>
        </w:rPr>
        <w:t>Upon expiration of the exchange offer, all Old Notes that have been validly tendered and not withdrawn will be exchanged for an equal principal amount of New Notes. The terms of the New Notes are identical in all material respects to the terms of the Old Notes, except that the New Notes are registered under the Securities Act and are generally not subject to transfer restrictions, are not entitled to registration rights under the registration rights agreement that we entered into with the initial purchasers of the Old Notes and do not have the right to additional interest under the circumstances described in that registration rights agreement relating to our fulfillment of our registration obligations. The New Notes evidence the same debt as the Old Notes and are governed by the same indenture under which the Old Notes were issued.</w:t>
      </w:r>
    </w:p>
    <w:p>
      <w:pPr>
        <w:spacing w:after="0" w:line="52" w:lineRule="exact"/>
        <w:rPr>
          <w:sz w:val="20"/>
          <w:szCs w:val="20"/>
          <w:color w:val="auto"/>
        </w:rPr>
      </w:pPr>
    </w:p>
    <w:p>
      <w:pPr>
        <w:ind w:right="1159" w:firstLine="275"/>
        <w:spacing w:after="0" w:line="244" w:lineRule="auto"/>
        <w:rPr>
          <w:sz w:val="20"/>
          <w:szCs w:val="20"/>
          <w:color w:val="auto"/>
        </w:rPr>
      </w:pPr>
      <w:r>
        <w:rPr>
          <w:rFonts w:ascii="Times New Roman" w:cs="Times New Roman" w:eastAsia="Times New Roman" w:hAnsi="Times New Roman"/>
          <w:sz w:val="14"/>
          <w:szCs w:val="14"/>
          <w:color w:val="auto"/>
        </w:rPr>
        <w:t>There is no existing public market for the Old Notes or the New Notes and we do not expect any public market to develop in the future for either the Old Notes or the New Notes. The Old Notes are not listed on any national securities exchange or quotation system and we do not intend to list the New Notes on any national securities exchange or quotation system.</w:t>
      </w:r>
    </w:p>
    <w:p>
      <w:pPr>
        <w:spacing w:after="0" w:line="46" w:lineRule="exact"/>
        <w:rPr>
          <w:sz w:val="20"/>
          <w:szCs w:val="20"/>
          <w:color w:val="auto"/>
        </w:rPr>
      </w:pPr>
    </w:p>
    <w:p>
      <w:pPr>
        <w:ind w:right="1199" w:firstLine="275"/>
        <w:spacing w:after="0" w:line="243" w:lineRule="auto"/>
        <w:rPr>
          <w:sz w:val="20"/>
          <w:szCs w:val="20"/>
          <w:color w:val="auto"/>
        </w:rPr>
      </w:pPr>
      <w:r>
        <w:rPr>
          <w:rFonts w:ascii="Times New Roman" w:cs="Times New Roman" w:eastAsia="Times New Roman" w:hAnsi="Times New Roman"/>
          <w:sz w:val="14"/>
          <w:szCs w:val="14"/>
          <w:color w:val="auto"/>
        </w:rPr>
        <w:t>You may withdraw your tender of Old Notes at any time prior to the expiration of the exchange offer. We will exchange all of the outstanding Old Notes that are validly tendered and not validly withdrawn prior to the expiration of the exchange offer for an equal principal amount of New Notes.</w:t>
      </w:r>
    </w:p>
    <w:p>
      <w:pPr>
        <w:spacing w:after="0" w:line="47" w:lineRule="exact"/>
        <w:rPr>
          <w:sz w:val="20"/>
          <w:szCs w:val="20"/>
          <w:color w:val="auto"/>
        </w:rPr>
      </w:pPr>
    </w:p>
    <w:p>
      <w:pPr>
        <w:ind w:right="1279" w:firstLine="275"/>
        <w:spacing w:after="0" w:line="241" w:lineRule="auto"/>
        <w:rPr>
          <w:sz w:val="20"/>
          <w:szCs w:val="20"/>
          <w:color w:val="auto"/>
        </w:rPr>
      </w:pPr>
      <w:r>
        <w:rPr>
          <w:rFonts w:ascii="Times New Roman" w:cs="Times New Roman" w:eastAsia="Times New Roman" w:hAnsi="Times New Roman"/>
          <w:sz w:val="14"/>
          <w:szCs w:val="14"/>
          <w:color w:val="auto"/>
        </w:rPr>
        <w:t>Each broker-dealer that receives New Notes for its own account pursuant to the exchange offer must acknowledge that it will deliver a prospectus meeting the requirements of the Securities Act in connection with any resale of such New Notes. A broker-dealer that acquired Old Notes because of market-making or other trading activities may use this prospectus, as supplemented or amended from time to time, in connection with resales of the New Notes for a period of 180 days after the completion of the exchange offer. See “Plan of Distribution.”</w:t>
      </w:r>
    </w:p>
    <w:p>
      <w:pPr>
        <w:spacing w:after="0" w:line="46" w:lineRule="exact"/>
        <w:rPr>
          <w:sz w:val="20"/>
          <w:szCs w:val="20"/>
          <w:color w:val="auto"/>
        </w:rPr>
      </w:pPr>
    </w:p>
    <w:p>
      <w:pPr>
        <w:ind w:right="1159" w:firstLine="275"/>
        <w:spacing w:after="0" w:line="271" w:lineRule="auto"/>
        <w:rPr>
          <w:rFonts w:ascii="Times New Roman" w:cs="Times New Roman" w:eastAsia="Times New Roman" w:hAnsi="Times New Roman"/>
          <w:sz w:val="13"/>
          <w:szCs w:val="13"/>
          <w:b w:val="1"/>
          <w:bCs w:val="1"/>
          <w:color w:val="0000EE"/>
        </w:rPr>
      </w:pPr>
      <w:r>
        <w:rPr>
          <w:rFonts w:ascii="Times New Roman" w:cs="Times New Roman" w:eastAsia="Times New Roman" w:hAnsi="Times New Roman"/>
          <w:sz w:val="13"/>
          <w:szCs w:val="13"/>
          <w:b w:val="1"/>
          <w:bCs w:val="1"/>
          <w:color w:val="auto"/>
        </w:rPr>
        <w:t xml:space="preserve">Investing in our securities involves certain risks. See “Risk Factors” beginning on page </w:t>
      </w:r>
      <w:r>
        <w:rPr>
          <w:rFonts w:ascii="Times New Roman" w:cs="Times New Roman" w:eastAsia="Times New Roman" w:hAnsi="Times New Roman"/>
          <w:sz w:val="13"/>
          <w:szCs w:val="13"/>
          <w:b w:val="1"/>
          <w:bCs w:val="1"/>
          <w:u w:val="single" w:color="auto"/>
          <w:color w:val="0000EE"/>
        </w:rPr>
        <w:t>9</w:t>
      </w:r>
      <w:r>
        <w:rPr>
          <w:rFonts w:ascii="Times New Roman" w:cs="Times New Roman" w:eastAsia="Times New Roman" w:hAnsi="Times New Roman"/>
          <w:sz w:val="13"/>
          <w:szCs w:val="13"/>
          <w:b w:val="1"/>
          <w:bCs w:val="1"/>
          <w:color w:val="auto"/>
        </w:rPr>
        <w:t xml:space="preserve">, as well as the risk factors contained in our </w:t>
      </w:r>
      <w:hyperlink r:id="rId16">
        <w:r>
          <w:rPr>
            <w:rFonts w:ascii="Times New Roman" w:cs="Times New Roman" w:eastAsia="Times New Roman" w:hAnsi="Times New Roman"/>
            <w:sz w:val="13"/>
            <w:szCs w:val="13"/>
            <w:b w:val="1"/>
            <w:bCs w:val="1"/>
            <w:u w:val="single" w:color="auto"/>
            <w:color w:val="0000EE"/>
          </w:rPr>
          <w:t>Annual Report on Form 10-K for the fiscal year ended December 31, 2025</w:t>
        </w:r>
      </w:hyperlink>
      <w:r>
        <w:rPr>
          <w:rFonts w:ascii="Times New Roman" w:cs="Times New Roman" w:eastAsia="Times New Roman" w:hAnsi="Times New Roman"/>
          <w:sz w:val="13"/>
          <w:szCs w:val="13"/>
          <w:b w:val="1"/>
          <w:bCs w:val="1"/>
          <w:color w:val="auto"/>
        </w:rPr>
        <w:t xml:space="preserve">, and our </w:t>
      </w:r>
      <w:hyperlink r:id="rId17">
        <w:r>
          <w:rPr>
            <w:rFonts w:ascii="Times New Roman" w:cs="Times New Roman" w:eastAsia="Times New Roman" w:hAnsi="Times New Roman"/>
            <w:sz w:val="13"/>
            <w:szCs w:val="13"/>
            <w:b w:val="1"/>
            <w:bCs w:val="1"/>
            <w:u w:val="single" w:color="auto"/>
            <w:color w:val="0000EE"/>
          </w:rPr>
          <w:t>Quarterly Report on Form 10-Q for the fiscal quarter ended March 31, 2026</w:t>
        </w:r>
        <w:r>
          <w:rPr>
            <w:rFonts w:ascii="Times New Roman" w:cs="Times New Roman" w:eastAsia="Times New Roman" w:hAnsi="Times New Roman"/>
            <w:sz w:val="13"/>
            <w:szCs w:val="13"/>
            <w:b w:val="1"/>
            <w:bCs w:val="1"/>
            <w:color w:val="0000EE"/>
          </w:rPr>
          <w:t xml:space="preserve"> </w:t>
        </w:r>
      </w:hyperlink>
      <w:r>
        <w:rPr>
          <w:rFonts w:ascii="Times New Roman" w:cs="Times New Roman" w:eastAsia="Times New Roman" w:hAnsi="Times New Roman"/>
          <w:sz w:val="13"/>
          <w:szCs w:val="13"/>
          <w:b w:val="1"/>
          <w:bCs w:val="1"/>
          <w:color w:val="000000"/>
        </w:rPr>
        <w:t>and</w:t>
      </w:r>
      <w:r>
        <w:rPr>
          <w:rFonts w:ascii="Times New Roman" w:cs="Times New Roman" w:eastAsia="Times New Roman" w:hAnsi="Times New Roman"/>
          <w:sz w:val="13"/>
          <w:szCs w:val="13"/>
          <w:b w:val="1"/>
          <w:bCs w:val="1"/>
          <w:color w:val="0000EE"/>
        </w:rPr>
        <w:t xml:space="preserve"> </w:t>
      </w:r>
      <w:r>
        <w:rPr>
          <w:rFonts w:ascii="Times New Roman" w:cs="Times New Roman" w:eastAsia="Times New Roman" w:hAnsi="Times New Roman"/>
          <w:sz w:val="13"/>
          <w:szCs w:val="13"/>
          <w:b w:val="1"/>
          <w:bCs w:val="1"/>
          <w:color w:val="000000"/>
        </w:rPr>
        <w:t>in the other reports filed by us</w:t>
      </w:r>
      <w:r>
        <w:rPr>
          <w:rFonts w:ascii="Times New Roman" w:cs="Times New Roman" w:eastAsia="Times New Roman" w:hAnsi="Times New Roman"/>
          <w:sz w:val="13"/>
          <w:szCs w:val="13"/>
          <w:b w:val="1"/>
          <w:bCs w:val="1"/>
          <w:color w:val="0000EE"/>
        </w:rPr>
        <w:t xml:space="preserve"> </w:t>
      </w:r>
      <w:r>
        <w:rPr>
          <w:rFonts w:ascii="Times New Roman" w:cs="Times New Roman" w:eastAsia="Times New Roman" w:hAnsi="Times New Roman"/>
          <w:sz w:val="13"/>
          <w:szCs w:val="13"/>
          <w:b w:val="1"/>
          <w:bCs w:val="1"/>
          <w:color w:val="000000"/>
        </w:rPr>
        <w:t>with the Securities and Exchange Commission and incorporated by reference into this prospectus.</w:t>
      </w:r>
    </w:p>
    <w:p>
      <w:pPr>
        <w:spacing w:after="0" w:line="26" w:lineRule="exact"/>
        <w:rPr>
          <w:sz w:val="20"/>
          <w:szCs w:val="20"/>
          <w:color w:val="auto"/>
        </w:rPr>
      </w:pPr>
    </w:p>
    <w:p>
      <w:pPr>
        <w:ind w:right="1319" w:firstLine="275"/>
        <w:spacing w:after="0" w:line="24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 These securities are not savings or deposit accounts or other obligations of any bank and are not insured or guaranteed by the Federal Deposit Insurance Corporation or any other governmental agency.</w:t>
      </w:r>
    </w:p>
    <w:p>
      <w:pPr>
        <w:spacing w:after="0" w:line="4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233680</wp:posOffset>
            </wp:positionV>
            <wp:extent cx="51885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88585" cy="38735"/>
                    </a:xfrm>
                    <a:prstGeom prst="rect">
                      <a:avLst/>
                    </a:prstGeom>
                    <a:noFill/>
                  </pic:spPr>
                </pic:pic>
              </a:graphicData>
            </a:graphic>
          </wp:anchor>
        </w:drawing>
      </w:r>
    </w:p>
    <w:p>
      <w:pPr>
        <w:sectPr>
          <w:pgSz w:w="11900" w:h="16838" w:orient="portrait"/>
          <w:cols w:equalWidth="0" w:num="2">
            <w:col w:w="1440" w:space="180"/>
            <w:col w:w="7399"/>
          </w:cols>
          <w:pgMar w:left="1440" w:top="108" w:right="1440" w:bottom="1440" w:gutter="0" w:footer="0" w:header="0"/>
          <w:type w:val="continuous"/>
        </w:sectPr>
      </w:pPr>
    </w:p>
    <w:bookmarkStart w:id="2" w:name="page3"/>
    <w:bookmarkEnd w:id="2"/>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27"/>
          <w:szCs w:val="27"/>
          <w:color w:val="000000"/>
          <w:vertAlign w:val="subscript"/>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-105410</wp:posOffset>
            </wp:positionV>
            <wp:extent cx="3981450" cy="111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981450" cy="111125"/>
                    </a:xfrm>
                    <a:prstGeom prst="rect">
                      <a:avLst/>
                    </a:prstGeom>
                    <a:noFill/>
                  </pic:spPr>
                </pic:pic>
              </a:graphicData>
            </a:graphic>
          </wp:anchor>
        </w:drawing>
      </w:r>
    </w:p>
    <w:p>
      <w:pPr>
        <w:ind w:left="1380"/>
        <w:spacing w:after="0" w:line="221" w:lineRule="auto"/>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27"/>
          <w:szCs w:val="27"/>
          <w:color w:val="000000"/>
          <w:vertAlign w:val="subscript"/>
        </w:rPr>
        <w:t>​</w:t>
      </w:r>
      <w:r>
        <w:rPr>
          <w:rFonts w:ascii="Times New Roman" w:cs="Times New Roman" w:eastAsia="Times New Roman" w:hAnsi="Times New Roman"/>
          <w:sz w:val="14"/>
          <w:szCs w:val="14"/>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-45085</wp:posOffset>
            </wp:positionV>
            <wp:extent cx="190944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909445" cy="635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-12065</wp:posOffset>
            </wp:positionV>
            <wp:extent cx="3981450" cy="163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981450" cy="163830"/>
                    </a:xfrm>
                    <a:prstGeom prst="rect">
                      <a:avLst/>
                    </a:prstGeom>
                    <a:noFill/>
                  </pic:spPr>
                </pic:pic>
              </a:graphicData>
            </a:graphic>
          </wp:anchor>
        </w:drawing>
      </w:r>
    </w:p>
    <w:p>
      <w:pPr>
        <w:ind w:left="1380"/>
        <w:spacing w:after="0" w:line="200" w:lineRule="auto"/>
        <w:rPr>
          <w:sz w:val="20"/>
          <w:szCs w:val="20"/>
          <w:color w:val="auto"/>
        </w:rPr>
      </w:pPr>
      <w:r>
        <w:rPr>
          <w:rFonts w:ascii="Times New Roman" w:cs="Times New Roman" w:eastAsia="Times New Roman" w:hAnsi="Times New Roman"/>
          <w:sz w:val="14"/>
          <w:szCs w:val="14"/>
          <w:color w:val="0000EE"/>
        </w:rPr>
        <w:t>INFORMATION</w:t>
      </w:r>
      <w:r>
        <w:rPr>
          <w:rFonts w:ascii="Times New Roman" w:cs="Times New Roman" w:eastAsia="Times New Roman" w:hAnsi="Times New Roman"/>
          <w:sz w:val="27"/>
          <w:szCs w:val="27"/>
          <w:color w:val="000000"/>
          <w:vertAlign w:val="subscript"/>
        </w:rPr>
        <w:t>​</w:t>
      </w:r>
      <w:r>
        <w:rPr>
          <w:rFonts w:ascii="Times New Roman" w:cs="Times New Roman" w:eastAsia="Times New Roman" w:hAnsi="Times New Roman"/>
          <w:sz w:val="14"/>
          <w:szCs w:val="14"/>
          <w:color w:val="0000EE"/>
        </w:rPr>
        <w:t xml:space="preserve"> INCORPORATED BY REFERENCE</w:t>
      </w:r>
    </w:p>
    <w:p>
      <w:pPr>
        <w:ind w:left="1380"/>
        <w:spacing w:after="0" w:line="199" w:lineRule="auto"/>
        <w:rPr>
          <w:sz w:val="20"/>
          <w:szCs w:val="20"/>
          <w:color w:val="auto"/>
        </w:rPr>
      </w:pPr>
      <w:r>
        <w:rPr>
          <w:rFonts w:ascii="Times New Roman" w:cs="Times New Roman" w:eastAsia="Times New Roman" w:hAnsi="Times New Roman"/>
          <w:sz w:val="14"/>
          <w:szCs w:val="14"/>
          <w:color w:val="0000EE"/>
        </w:rPr>
        <w:t>SPECIAL</w:t>
      </w:r>
      <w:r>
        <w:rPr>
          <w:rFonts w:ascii="Times New Roman" w:cs="Times New Roman" w:eastAsia="Times New Roman" w:hAnsi="Times New Roman"/>
          <w:sz w:val="27"/>
          <w:szCs w:val="27"/>
          <w:color w:val="000000"/>
          <w:vertAlign w:val="subscript"/>
        </w:rPr>
        <w:t>​</w:t>
      </w:r>
      <w:r>
        <w:rPr>
          <w:rFonts w:ascii="Times New Roman" w:cs="Times New Roman" w:eastAsia="Times New Roman" w:hAnsi="Times New Roman"/>
          <w:sz w:val="14"/>
          <w:szCs w:val="14"/>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-12700</wp:posOffset>
            </wp:positionV>
            <wp:extent cx="3978275" cy="163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978275" cy="16383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-45720</wp:posOffset>
            </wp:positionV>
            <wp:extent cx="267017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670175" cy="6350"/>
                    </a:xfrm>
                    <a:prstGeom prst="rect">
                      <a:avLst/>
                    </a:prstGeom>
                    <a:noFill/>
                  </pic:spPr>
                </pic:pic>
              </a:graphicData>
            </a:graphic>
          </wp:anchor>
        </w:drawing>
      </w:r>
    </w:p>
    <w:p>
      <w:pPr>
        <w:ind w:left="1380"/>
        <w:spacing w:after="0" w:line="199" w:lineRule="auto"/>
        <w:rPr>
          <w:sz w:val="20"/>
          <w:szCs w:val="20"/>
          <w:color w:val="auto"/>
        </w:rPr>
      </w:pPr>
      <w:r>
        <w:rPr>
          <w:rFonts w:ascii="Times New Roman" w:cs="Times New Roman" w:eastAsia="Times New Roman" w:hAnsi="Times New Roman"/>
          <w:sz w:val="14"/>
          <w:szCs w:val="14"/>
          <w:u w:val="single" w:color="auto"/>
          <w:color w:val="0000EE"/>
        </w:rPr>
        <w:t>SUMMARY</w:t>
      </w:r>
      <w:r>
        <w:rPr>
          <w:rFonts w:ascii="Times New Roman" w:cs="Times New Roman" w:eastAsia="Times New Roman" w:hAnsi="Times New Roman"/>
          <w:sz w:val="27"/>
          <w:szCs w:val="27"/>
          <w:color w:val="000000"/>
          <w:vertAlign w:val="subscript"/>
        </w:rPr>
        <w:t>​</w:t>
      </w:r>
    </w:p>
    <w:p>
      <w:pPr>
        <w:ind w:left="1380"/>
        <w:spacing w:after="0" w:line="199" w:lineRule="auto"/>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27"/>
          <w:szCs w:val="27"/>
          <w:color w:val="000000"/>
          <w:vertAlign w:val="subscript"/>
        </w:rPr>
        <w:t>​</w:t>
      </w:r>
      <w:r>
        <w:rPr>
          <w:rFonts w:ascii="Times New Roman" w:cs="Times New Roman" w:eastAsia="Times New Roman" w:hAnsi="Times New Roman"/>
          <w:sz w:val="14"/>
          <w:szCs w:val="14"/>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-45085</wp:posOffset>
            </wp:positionV>
            <wp:extent cx="62611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26110" cy="635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-12700</wp:posOffset>
            </wp:positionV>
            <wp:extent cx="3981450" cy="163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981450" cy="163830"/>
                    </a:xfrm>
                    <a:prstGeom prst="rect">
                      <a:avLst/>
                    </a:prstGeom>
                    <a:noFill/>
                  </pic:spPr>
                </pic:pic>
              </a:graphicData>
            </a:graphic>
          </wp:anchor>
        </w:drawing>
      </w:r>
    </w:p>
    <w:p>
      <w:pPr>
        <w:ind w:left="1380"/>
        <w:spacing w:after="0" w:line="199" w:lineRule="auto"/>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27"/>
          <w:szCs w:val="27"/>
          <w:color w:val="000000"/>
          <w:vertAlign w:val="subscript"/>
        </w:rPr>
        <w:t>​</w:t>
      </w:r>
      <w:r>
        <w:rPr>
          <w:rFonts w:ascii="Times New Roman" w:cs="Times New Roman" w:eastAsia="Times New Roman" w:hAnsi="Times New Roman"/>
          <w:sz w:val="14"/>
          <w:szCs w:val="14"/>
          <w:color w:val="0000EE"/>
        </w:rPr>
        <w:t xml:space="preserve"> OF PROCEEDS</w:t>
      </w:r>
    </w:p>
    <w:p>
      <w:pPr>
        <w:ind w:left="1380"/>
        <w:spacing w:after="0" w:line="199" w:lineRule="auto"/>
        <w:rPr>
          <w:sz w:val="20"/>
          <w:szCs w:val="20"/>
          <w:color w:val="auto"/>
        </w:rPr>
      </w:pPr>
      <w:r>
        <w:rPr>
          <w:rFonts w:ascii="Times New Roman" w:cs="Times New Roman" w:eastAsia="Times New Roman" w:hAnsi="Times New Roman"/>
          <w:sz w:val="14"/>
          <w:szCs w:val="14"/>
          <w:color w:val="0000EE"/>
        </w:rPr>
        <w:t>THE</w:t>
      </w:r>
      <w:r>
        <w:rPr>
          <w:rFonts w:ascii="Times New Roman" w:cs="Times New Roman" w:eastAsia="Times New Roman" w:hAnsi="Times New Roman"/>
          <w:sz w:val="27"/>
          <w:szCs w:val="27"/>
          <w:color w:val="000000"/>
          <w:vertAlign w:val="subscript"/>
        </w:rPr>
        <w:t>​</w:t>
      </w:r>
      <w:r>
        <w:rPr>
          <w:rFonts w:ascii="Times New Roman" w:cs="Times New Roman" w:eastAsia="Times New Roman" w:hAnsi="Times New Roman"/>
          <w:sz w:val="14"/>
          <w:szCs w:val="14"/>
          <w:color w:val="0000EE"/>
        </w:rPr>
        <w:t xml:space="preserv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-45085</wp:posOffset>
            </wp:positionV>
            <wp:extent cx="99568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995680" cy="635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-12065</wp:posOffset>
            </wp:positionV>
            <wp:extent cx="3981450" cy="163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981450" cy="163830"/>
                    </a:xfrm>
                    <a:prstGeom prst="rect">
                      <a:avLst/>
                    </a:prstGeom>
                    <a:noFill/>
                  </pic:spPr>
                </pic:pic>
              </a:graphicData>
            </a:graphic>
          </wp:anchor>
        </w:drawing>
      </w:r>
    </w:p>
    <w:p>
      <w:pPr>
        <w:ind w:left="1380"/>
        <w:spacing w:after="0" w:line="199" w:lineRule="auto"/>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27"/>
          <w:szCs w:val="27"/>
          <w:color w:val="000000"/>
          <w:vertAlign w:val="subscript"/>
        </w:rPr>
        <w:t>​</w:t>
      </w:r>
      <w:r>
        <w:rPr>
          <w:rFonts w:ascii="Times New Roman" w:cs="Times New Roman" w:eastAsia="Times New Roman" w:hAnsi="Times New Roman"/>
          <w:sz w:val="14"/>
          <w:szCs w:val="14"/>
          <w:color w:val="0000EE"/>
        </w:rPr>
        <w:t xml:space="preserve"> OF THE NOTES</w:t>
      </w:r>
    </w:p>
    <w:p>
      <w:pPr>
        <w:jc w:val="right"/>
        <w:ind w:right="620"/>
        <w:spacing w:after="0" w:line="200" w:lineRule="auto"/>
        <w:rPr>
          <w:sz w:val="20"/>
          <w:szCs w:val="20"/>
          <w:color w:val="auto"/>
        </w:rPr>
      </w:pPr>
      <w:r>
        <w:rPr>
          <w:rFonts w:ascii="Times New Roman" w:cs="Times New Roman" w:eastAsia="Times New Roman" w:hAnsi="Times New Roman"/>
          <w:sz w:val="14"/>
          <w:szCs w:val="14"/>
          <w:color w:val="0000EE"/>
        </w:rPr>
        <w:t>MATERIAL</w:t>
      </w:r>
      <w:r>
        <w:rPr>
          <w:rFonts w:ascii="Times New Roman" w:cs="Times New Roman" w:eastAsia="Times New Roman" w:hAnsi="Times New Roman"/>
          <w:sz w:val="27"/>
          <w:szCs w:val="27"/>
          <w:color w:val="000000"/>
          <w:vertAlign w:val="subscript"/>
        </w:rPr>
        <w:t>​</w:t>
      </w:r>
      <w:r>
        <w:rPr>
          <w:rFonts w:ascii="Times New Roman" w:cs="Times New Roman" w:eastAsia="Times New Roman" w:hAnsi="Times New Roman"/>
          <w:sz w:val="14"/>
          <w:szCs w:val="14"/>
          <w:color w:val="0000EE"/>
        </w:rPr>
        <w:t xml:space="preserve"> UNITED STATES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-45720</wp:posOffset>
            </wp:positionV>
            <wp:extent cx="295148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951480" cy="635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-12700</wp:posOffset>
            </wp:positionV>
            <wp:extent cx="3981450" cy="163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981450" cy="163830"/>
                    </a:xfrm>
                    <a:prstGeom prst="rect">
                      <a:avLst/>
                    </a:prstGeom>
                    <a:noFill/>
                  </pic:spPr>
                </pic:pic>
              </a:graphicData>
            </a:graphic>
          </wp:anchor>
        </w:drawing>
      </w:r>
    </w:p>
    <w:p>
      <w:pPr>
        <w:ind w:left="1380"/>
        <w:spacing w:after="0" w:line="199" w:lineRule="auto"/>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27"/>
          <w:szCs w:val="27"/>
          <w:color w:val="000000"/>
          <w:vertAlign w:val="subscript"/>
        </w:rPr>
        <w:t>​</w:t>
      </w:r>
      <w:r>
        <w:rPr>
          <w:rFonts w:ascii="Times New Roman" w:cs="Times New Roman" w:eastAsia="Times New Roman" w:hAnsi="Times New Roman"/>
          <w:sz w:val="14"/>
          <w:szCs w:val="14"/>
          <w:color w:val="0000EE"/>
        </w:rPr>
        <w:t xml:space="preserve"> OF DISTRIBUTION</w:t>
      </w:r>
    </w:p>
    <w:p>
      <w:pPr>
        <w:ind w:left="1380"/>
        <w:spacing w:after="0" w:line="199" w:lineRule="auto"/>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27"/>
          <w:szCs w:val="27"/>
          <w:color w:val="000000"/>
          <w:vertAlign w:val="subscript"/>
        </w:rPr>
        <w:t>​</w:t>
      </w:r>
      <w:r>
        <w:rPr>
          <w:rFonts w:ascii="Times New Roman" w:cs="Times New Roman" w:eastAsia="Times New Roman" w:hAnsi="Times New Roman"/>
          <w:sz w:val="14"/>
          <w:szCs w:val="14"/>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-12700</wp:posOffset>
            </wp:positionV>
            <wp:extent cx="3978275" cy="163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978275" cy="16383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-45720</wp:posOffset>
            </wp:positionV>
            <wp:extent cx="72771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7710" cy="6350"/>
                    </a:xfrm>
                    <a:prstGeom prst="rect">
                      <a:avLst/>
                    </a:prstGeom>
                    <a:noFill/>
                  </pic:spPr>
                </pic:pic>
              </a:graphicData>
            </a:graphic>
          </wp:anchor>
        </w:drawing>
      </w:r>
    </w:p>
    <w:p>
      <w:pPr>
        <w:ind w:left="1380"/>
        <w:spacing w:after="0" w:line="199" w:lineRule="auto"/>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27"/>
          <w:szCs w:val="27"/>
          <w:color w:val="000000"/>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u w:val="single" w:color="auto"/>
          <w:color w:val="0000EE"/>
          <w:vertAlign w:val="superscript"/>
        </w:rPr>
        <w:t>ii</w:t>
      </w:r>
      <w:r>
        <w:rPr>
          <w:rFonts w:ascii="Times New Roman" w:cs="Times New Roman" w:eastAsia="Times New Roman" w:hAnsi="Times New Roman"/>
          <w:sz w:val="14"/>
          <w:szCs w:val="14"/>
          <w:color w:val="auto"/>
        </w:rPr>
        <w:t>​</w:t>
      </w:r>
    </w:p>
    <w:p>
      <w:pPr>
        <w:spacing w:after="0" w:line="199"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u w:val="single" w:color="auto"/>
          <w:color w:val="0000EE"/>
          <w:vertAlign w:val="superscript"/>
        </w:rPr>
        <w:t>iii</w:t>
      </w:r>
      <w:r>
        <w:rPr>
          <w:rFonts w:ascii="Times New Roman" w:cs="Times New Roman" w:eastAsia="Times New Roman" w:hAnsi="Times New Roman"/>
          <w:sz w:val="14"/>
          <w:szCs w:val="14"/>
          <w:color w:val="auto"/>
        </w:rPr>
        <w:t>​</w:t>
      </w:r>
    </w:p>
    <w:p>
      <w:pPr>
        <w:spacing w:after="0" w:line="199"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u w:val="single" w:color="auto"/>
          <w:color w:val="0000EE"/>
          <w:vertAlign w:val="superscript"/>
        </w:rPr>
        <w:t>iii</w:t>
      </w:r>
      <w:r>
        <w:rPr>
          <w:rFonts w:ascii="Times New Roman" w:cs="Times New Roman" w:eastAsia="Times New Roman" w:hAnsi="Times New Roman"/>
          <w:sz w:val="14"/>
          <w:szCs w:val="14"/>
          <w:color w:val="auto"/>
        </w:rPr>
        <w:t>​</w:t>
      </w:r>
    </w:p>
    <w:p>
      <w:pPr>
        <w:spacing w:after="0" w:line="199"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u w:val="single" w:color="auto"/>
          <w:color w:val="0000EE"/>
          <w:vertAlign w:val="superscript"/>
        </w:rPr>
        <w:t>iv</w:t>
      </w:r>
      <w:r>
        <w:rPr>
          <w:rFonts w:ascii="Times New Roman" w:cs="Times New Roman" w:eastAsia="Times New Roman" w:hAnsi="Times New Roman"/>
          <w:sz w:val="14"/>
          <w:szCs w:val="14"/>
          <w:color w:val="auto"/>
        </w:rPr>
        <w:t>​</w:t>
      </w:r>
    </w:p>
    <w:p>
      <w:pPr>
        <w:spacing w:after="0" w:line="199"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u w:val="single" w:color="auto"/>
          <w:color w:val="0000EE"/>
          <w:vertAlign w:val="superscript"/>
        </w:rPr>
        <w:t>1</w:t>
      </w:r>
      <w:r>
        <w:rPr>
          <w:rFonts w:ascii="Times New Roman" w:cs="Times New Roman" w:eastAsia="Times New Roman" w:hAnsi="Times New Roman"/>
          <w:sz w:val="14"/>
          <w:szCs w:val="14"/>
          <w:color w:val="auto"/>
        </w:rPr>
        <w:t>​</w:t>
      </w:r>
    </w:p>
    <w:p>
      <w:pPr>
        <w:spacing w:after="0" w:line="199"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u w:val="single" w:color="auto"/>
          <w:color w:val="0000EE"/>
          <w:vertAlign w:val="superscript"/>
        </w:rPr>
        <w:t>9</w:t>
      </w:r>
      <w:r>
        <w:rPr>
          <w:rFonts w:ascii="Times New Roman" w:cs="Times New Roman" w:eastAsia="Times New Roman" w:hAnsi="Times New Roman"/>
          <w:sz w:val="14"/>
          <w:szCs w:val="14"/>
          <w:color w:val="auto"/>
        </w:rPr>
        <w:t>​</w:t>
      </w:r>
    </w:p>
    <w:p>
      <w:pPr>
        <w:spacing w:after="0" w:line="199"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u w:val="single" w:color="auto"/>
          <w:color w:val="0000EE"/>
          <w:vertAlign w:val="superscript"/>
        </w:rPr>
        <w:t>18</w:t>
      </w:r>
      <w:r>
        <w:rPr>
          <w:rFonts w:ascii="Times New Roman" w:cs="Times New Roman" w:eastAsia="Times New Roman" w:hAnsi="Times New Roman"/>
          <w:sz w:val="14"/>
          <w:szCs w:val="14"/>
          <w:color w:val="auto"/>
        </w:rPr>
        <w:t>​</w:t>
      </w:r>
    </w:p>
    <w:p>
      <w:pPr>
        <w:spacing w:after="0" w:line="199"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u w:val="single" w:color="auto"/>
          <w:color w:val="0000EE"/>
          <w:vertAlign w:val="superscript"/>
        </w:rPr>
        <w:t>19</w:t>
      </w:r>
      <w:r>
        <w:rPr>
          <w:rFonts w:ascii="Times New Roman" w:cs="Times New Roman" w:eastAsia="Times New Roman" w:hAnsi="Times New Roman"/>
          <w:sz w:val="14"/>
          <w:szCs w:val="14"/>
          <w:color w:val="auto"/>
        </w:rPr>
        <w:t>​</w:t>
      </w:r>
    </w:p>
    <w:p>
      <w:pPr>
        <w:spacing w:after="0" w:line="200"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u w:val="single" w:color="auto"/>
          <w:color w:val="0000EE"/>
          <w:vertAlign w:val="superscript"/>
        </w:rPr>
        <w:t>27</w:t>
      </w:r>
      <w:r>
        <w:rPr>
          <w:rFonts w:ascii="Times New Roman" w:cs="Times New Roman" w:eastAsia="Times New Roman" w:hAnsi="Times New Roman"/>
          <w:sz w:val="14"/>
          <w:szCs w:val="14"/>
          <w:color w:val="auto"/>
        </w:rPr>
        <w:t>​</w:t>
      </w:r>
    </w:p>
    <w:p>
      <w:pPr>
        <w:spacing w:after="0" w:line="199"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u w:val="single" w:color="auto"/>
          <w:color w:val="0000EE"/>
          <w:vertAlign w:val="superscript"/>
        </w:rPr>
        <w:t>44</w:t>
      </w:r>
      <w:r>
        <w:rPr>
          <w:rFonts w:ascii="Times New Roman" w:cs="Times New Roman" w:eastAsia="Times New Roman" w:hAnsi="Times New Roman"/>
          <w:sz w:val="14"/>
          <w:szCs w:val="14"/>
          <w:color w:val="auto"/>
        </w:rPr>
        <w:t>​</w:t>
      </w:r>
    </w:p>
    <w:p>
      <w:pPr>
        <w:spacing w:after="0" w:line="199"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u w:val="single" w:color="auto"/>
          <w:color w:val="0000EE"/>
          <w:vertAlign w:val="superscript"/>
        </w:rPr>
        <w:t>45</w:t>
      </w:r>
      <w:r>
        <w:rPr>
          <w:rFonts w:ascii="Times New Roman" w:cs="Times New Roman" w:eastAsia="Times New Roman" w:hAnsi="Times New Roman"/>
          <w:sz w:val="14"/>
          <w:szCs w:val="14"/>
          <w:color w:val="auto"/>
        </w:rPr>
        <w:t>​</w:t>
      </w:r>
    </w:p>
    <w:p>
      <w:pPr>
        <w:spacing w:after="0" w:line="199"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u w:val="single" w:color="auto"/>
          <w:color w:val="0000EE"/>
          <w:vertAlign w:val="superscript"/>
        </w:rPr>
        <w:t>45</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u w:val="single" w:color="auto"/>
          <w:color w:val="0000EE"/>
          <w:vertAlign w:val="superscript"/>
        </w:rPr>
        <w:t>45</w:t>
      </w:r>
      <w:r>
        <w:rPr>
          <w:rFonts w:ascii="Times New Roman" w:cs="Times New Roman" w:eastAsia="Times New Roman" w:hAnsi="Times New Roman"/>
          <w:sz w:val="14"/>
          <w:szCs w:val="14"/>
          <w:color w:val="auto"/>
        </w:rPr>
        <w:t>​</w:t>
      </w:r>
    </w:p>
    <w:p>
      <w:pPr>
        <w:sectPr>
          <w:pgSz w:w="11900" w:h="16838" w:orient="portrait"/>
          <w:cols w:equalWidth="0" w:num="2">
            <w:col w:w="6640" w:space="720"/>
            <w:col w:w="1659"/>
          </w:cols>
          <w:pgMar w:left="1440" w:top="103" w:right="1440" w:bottom="1440" w:gutter="0" w:footer="0" w:header="0"/>
        </w:sectPr>
      </w:pPr>
    </w:p>
    <w:bookmarkStart w:id="3" w:name="page4"/>
    <w:bookmarkEnd w:id="3"/>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1" w:lineRule="exact"/>
        <w:rPr>
          <w:sz w:val="20"/>
          <w:szCs w:val="20"/>
          <w:color w:val="auto"/>
        </w:rPr>
      </w:pPr>
    </w:p>
    <w:p>
      <w:pPr>
        <w:ind w:left="1380" w:right="1399" w:firstLine="275"/>
        <w:spacing w:after="0" w:line="250" w:lineRule="auto"/>
        <w:rPr>
          <w:sz w:val="20"/>
          <w:szCs w:val="20"/>
          <w:color w:val="auto"/>
        </w:rPr>
      </w:pPr>
      <w:r>
        <w:rPr>
          <w:rFonts w:ascii="Times New Roman" w:cs="Times New Roman" w:eastAsia="Times New Roman" w:hAnsi="Times New Roman"/>
          <w:sz w:val="14"/>
          <w:szCs w:val="14"/>
          <w:color w:val="auto"/>
        </w:rPr>
        <w:t>This prospectus is a part of a registration statement that we have filed with the Securities and Exchange Commission (the “SEC”) under the Securities Act. This prospectus does not contain all the information set forth in the registration statement, certain parts of which are omitted in accordance with the rules and regulations of the SEC. For further information with respect to us, the exchange offer and the securities offered by this prospectus, reference is made to the registration statement, including the exhibits to the registration statement and the documents incorporated by reference.</w:t>
      </w:r>
    </w:p>
    <w:p>
      <w:pPr>
        <w:spacing w:after="0" w:line="96" w:lineRule="exact"/>
        <w:rPr>
          <w:sz w:val="20"/>
          <w:szCs w:val="20"/>
          <w:color w:val="auto"/>
        </w:rPr>
      </w:pPr>
    </w:p>
    <w:p>
      <w:pPr>
        <w:jc w:val="both"/>
        <w:ind w:left="1380" w:right="1419" w:firstLine="275"/>
        <w:spacing w:after="0" w:line="258" w:lineRule="auto"/>
        <w:rPr>
          <w:sz w:val="20"/>
          <w:szCs w:val="20"/>
          <w:color w:val="auto"/>
        </w:rPr>
      </w:pPr>
      <w:r>
        <w:rPr>
          <w:rFonts w:ascii="Times New Roman" w:cs="Times New Roman" w:eastAsia="Times New Roman" w:hAnsi="Times New Roman"/>
          <w:sz w:val="14"/>
          <w:szCs w:val="14"/>
          <w:color w:val="auto"/>
        </w:rPr>
        <w:t>We are providing this prospectus to holders of Old Notes in connection with our offer to exchange Old Notes for New Notes. We are not making this exchange offer in any jurisdiction where the exchange offer is not permitted.</w:t>
      </w:r>
    </w:p>
    <w:p>
      <w:pPr>
        <w:spacing w:after="0" w:line="78" w:lineRule="exact"/>
        <w:rPr>
          <w:sz w:val="20"/>
          <w:szCs w:val="20"/>
          <w:color w:val="auto"/>
        </w:rPr>
      </w:pPr>
    </w:p>
    <w:p>
      <w:pPr>
        <w:ind w:left="1380" w:right="1399" w:firstLine="275"/>
        <w:spacing w:after="0" w:line="250"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and in the accompanying exchange offer transmittal documents filed by us with the SEC. We have not authorized any other person to provide you with any other information. If anyone provides you with different or inconsistent information, you should not rely on it. You should not assume that the information contained or incorporated by reference in this prospectus is accurate as of any date other than the date of the applicable document that contains that information. Our business, financial condition, results of operations and prospects may have changed since that date.</w:t>
      </w:r>
    </w:p>
    <w:p>
      <w:pPr>
        <w:spacing w:after="0" w:line="94" w:lineRule="exact"/>
        <w:rPr>
          <w:sz w:val="20"/>
          <w:szCs w:val="20"/>
          <w:color w:val="auto"/>
        </w:rPr>
      </w:pPr>
    </w:p>
    <w:p>
      <w:pPr>
        <w:ind w:left="1380" w:right="1539" w:firstLine="275"/>
        <w:spacing w:after="0" w:line="258" w:lineRule="auto"/>
        <w:rPr>
          <w:sz w:val="20"/>
          <w:szCs w:val="20"/>
          <w:color w:val="auto"/>
        </w:rPr>
      </w:pPr>
      <w:r>
        <w:rPr>
          <w:rFonts w:ascii="Times New Roman" w:cs="Times New Roman" w:eastAsia="Times New Roman" w:hAnsi="Times New Roman"/>
          <w:sz w:val="14"/>
          <w:szCs w:val="14"/>
          <w:color w:val="auto"/>
        </w:rPr>
        <w:t>You should not consider any information in this prospectus to be investment, legal or tax advice. You should consult your own counsel, accountant and other advisors for legal, tax, business, financial and related advice regarding the exchange offer and ownership of these securities.</w:t>
      </w:r>
    </w:p>
    <w:p>
      <w:pPr>
        <w:spacing w:after="0" w:line="89" w:lineRule="exact"/>
        <w:rPr>
          <w:sz w:val="20"/>
          <w:szCs w:val="20"/>
          <w:color w:val="auto"/>
        </w:rPr>
      </w:pPr>
    </w:p>
    <w:p>
      <w:pPr>
        <w:ind w:left="1380" w:right="1399" w:firstLine="275"/>
        <w:spacing w:after="0" w:line="249" w:lineRule="auto"/>
        <w:rPr>
          <w:sz w:val="20"/>
          <w:szCs w:val="20"/>
          <w:color w:val="auto"/>
        </w:rPr>
      </w:pPr>
      <w:r>
        <w:rPr>
          <w:rFonts w:ascii="Times New Roman" w:cs="Times New Roman" w:eastAsia="Times New Roman" w:hAnsi="Times New Roman"/>
          <w:sz w:val="14"/>
          <w:szCs w:val="14"/>
          <w:color w:val="auto"/>
        </w:rPr>
        <w:t>Each broker-dealer that receives New Notes for its own account in exchange for Old Notes acquired by the broker-dealer as a result of market-making or other trading activities must acknowledge that it will deliver a prospectus meeting the requirements of the Securities Act in connection with any resale of such New Notes. This prospectus, as it may be amended or supplemented from time to time, may be used by a participating broker-dealer in connection with resales of New Notes received in exchange for Old Notes. We have agreed in the letter of transmittal to make this prospectus, as amended or supplemented, available to any such broker-dealer that requests copies of this prospectus for use in connection with any such resale. See “Plan of Distribution.”</w:t>
      </w:r>
    </w:p>
    <w:p>
      <w:pPr>
        <w:spacing w:after="0" w:line="86" w:lineRule="exact"/>
        <w:rPr>
          <w:sz w:val="20"/>
          <w:szCs w:val="20"/>
          <w:color w:val="auto"/>
        </w:rPr>
      </w:pPr>
    </w:p>
    <w:p>
      <w:pPr>
        <w:ind w:left="1380" w:right="1399" w:firstLine="275"/>
        <w:spacing w:after="0" w:line="252" w:lineRule="auto"/>
        <w:rPr>
          <w:sz w:val="20"/>
          <w:szCs w:val="20"/>
          <w:color w:val="auto"/>
        </w:rPr>
      </w:pPr>
      <w:r>
        <w:rPr>
          <w:rFonts w:ascii="Times New Roman" w:cs="Times New Roman" w:eastAsia="Times New Roman" w:hAnsi="Times New Roman"/>
          <w:sz w:val="14"/>
          <w:szCs w:val="14"/>
          <w:color w:val="auto"/>
        </w:rPr>
        <w:t>References in this prospectus to the “Corporation,” the “Company,” “we,” “us,” “our,” or similar references refer to HBT Financial, Inc., a Delaware corporation, and its subsidiaries on a consolidated basis, except where the context otherwise requires or as otherwise indicated. References in this prospectus to the “Bank” refer to Heartland Bank and Trust Company, an Illinois state-chartered bank and wholly-owned subsidiary of the Company.</w:t>
      </w:r>
    </w:p>
    <w:p>
      <w:pPr>
        <w:spacing w:after="0" w:line="93" w:lineRule="exact"/>
        <w:rPr>
          <w:sz w:val="20"/>
          <w:szCs w:val="20"/>
          <w:color w:val="auto"/>
        </w:rPr>
      </w:pPr>
    </w:p>
    <w:p>
      <w:pPr>
        <w:ind w:left="1380" w:right="1439" w:firstLine="275"/>
        <w:spacing w:after="0" w:line="258" w:lineRule="auto"/>
        <w:rPr>
          <w:sz w:val="20"/>
          <w:szCs w:val="20"/>
          <w:color w:val="auto"/>
        </w:rPr>
      </w:pPr>
      <w:r>
        <w:rPr>
          <w:rFonts w:ascii="Times New Roman" w:cs="Times New Roman" w:eastAsia="Times New Roman" w:hAnsi="Times New Roman"/>
          <w:sz w:val="14"/>
          <w:szCs w:val="14"/>
          <w:color w:val="auto"/>
        </w:rPr>
        <w:t>This prospectus incorporates important business and financial information about us that is not included in or delivered with this prospectus. Such information is available without charge to holders of Old Notes upon written or oral request made to:</w:t>
      </w:r>
    </w:p>
    <w:p>
      <w:pPr>
        <w:spacing w:after="0" w:line="8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HBT Financial, Inc.</w:t>
      </w:r>
    </w:p>
    <w:p>
      <w:pPr>
        <w:spacing w:after="0" w:line="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401 North Hershey Road</w:t>
      </w:r>
    </w:p>
    <w:p>
      <w:pPr>
        <w:spacing w:after="0" w:line="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4"/>
          <w:szCs w:val="14"/>
          <w:color w:val="auto"/>
        </w:rPr>
        <w:t>Bloomington, Illinois 61704</w:t>
      </w:r>
    </w:p>
    <w:p>
      <w:pPr>
        <w:spacing w:after="0" w:line="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color w:val="auto"/>
        </w:rPr>
        <w:t>Telephone: (888) 897-2276</w:t>
      </w:r>
    </w:p>
    <w:p>
      <w:pPr>
        <w:spacing w:after="0" w:line="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color w:val="auto"/>
        </w:rPr>
        <w:t>E-mail: HBTIR@hbtbank.com</w:t>
      </w:r>
    </w:p>
    <w:p>
      <w:pPr>
        <w:spacing w:after="0" w:line="89" w:lineRule="exact"/>
        <w:rPr>
          <w:sz w:val="20"/>
          <w:szCs w:val="20"/>
          <w:color w:val="auto"/>
        </w:rPr>
      </w:pPr>
    </w:p>
    <w:p>
      <w:pPr>
        <w:ind w:left="1380" w:right="1379" w:firstLine="275"/>
        <w:spacing w:after="0" w:line="256" w:lineRule="auto"/>
        <w:rPr>
          <w:sz w:val="20"/>
          <w:szCs w:val="20"/>
          <w:color w:val="auto"/>
        </w:rPr>
      </w:pPr>
      <w:r>
        <w:rPr>
          <w:rFonts w:ascii="Times New Roman" w:cs="Times New Roman" w:eastAsia="Times New Roman" w:hAnsi="Times New Roman"/>
          <w:sz w:val="14"/>
          <w:szCs w:val="14"/>
          <w:b w:val="1"/>
          <w:bCs w:val="1"/>
          <w:color w:val="auto"/>
        </w:rPr>
        <w:t>To ensure timely delivery of any requested information, holders of Old Notes must make any request no later than                     , 2026, which is five business days before the expiration date of the exchange offer, or, if we decide to extend the expiration date of the exchange offer, no later than five business days before such extended expiration date.</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 w:name="page5"/>
    <w:bookmarkEnd w:id="4"/>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1" w:lineRule="exact"/>
        <w:rPr>
          <w:sz w:val="20"/>
          <w:szCs w:val="20"/>
          <w:color w:val="auto"/>
        </w:rPr>
      </w:pPr>
    </w:p>
    <w:p>
      <w:pPr>
        <w:ind w:left="1380" w:right="1419" w:firstLine="275"/>
        <w:spacing w:after="0" w:line="249" w:lineRule="auto"/>
        <w:rPr>
          <w:sz w:val="20"/>
          <w:szCs w:val="20"/>
          <w:color w:val="auto"/>
        </w:rPr>
      </w:pPr>
      <w:r>
        <w:rPr>
          <w:rFonts w:ascii="Times New Roman" w:cs="Times New Roman" w:eastAsia="Times New Roman" w:hAnsi="Times New Roman"/>
          <w:sz w:val="14"/>
          <w:szCs w:val="14"/>
          <w:color w:val="auto"/>
        </w:rPr>
        <w:t>We are subject to the informational requirements of the Securities Exchange Act of 1934, as amended (“Exchange Act”), and file with the SEC Proxy Statements, Annual Reports on Form 10-K, Quarterly Reports on Form 10-Q and Current Reports on Form 8-K, as required of a U.S. listed company. Our SEC filings are available to the public from the SEC’s web site at www.sec.gov or on our website at https://ir.hbtfinancial.com. However, other than our available SEC filings, the information on, or that can be accessible through, our website does not constitute a part of, and is not incorporated by reference in, this prospectus. Written requests for copies of the documents we file with the SEC should be directed to HBT Financial, Inc., 401 North Hershey Road, Bloomington, Illinois 61704, Attention: Investor Relations, telephone: (888) 897-2276.</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INCORPORATED BY REFERENCE</w:t>
      </w:r>
    </w:p>
    <w:p>
      <w:pPr>
        <w:spacing w:after="0" w:line="121" w:lineRule="exact"/>
        <w:rPr>
          <w:sz w:val="20"/>
          <w:szCs w:val="20"/>
          <w:color w:val="auto"/>
        </w:rPr>
      </w:pPr>
    </w:p>
    <w:p>
      <w:pPr>
        <w:ind w:left="1380" w:right="1499" w:firstLine="275"/>
        <w:spacing w:after="0" w:line="249"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This means that we can disclose important information to you by referring you to another document filed separately with the SEC. The information incorporated by reference is considered to be a part of this prospectus. These documents may include periodic reports, such as our Annual Report on Form 10-K, Quarterly Reports on Form 10-Q and Current Reports on Form 8-K, as well as definitive Proxy Statements. Any documents that we subsequently file with the SEC will automatically update and replace the information previously filed with the SEC. Therefore, in the case of a conflict or inconsistency between information set forth in this prospectus and information incorporated by reference into this prospectus, you should rely on the information contained in the document that was filed later.</w:t>
      </w:r>
    </w:p>
    <w:p>
      <w:pPr>
        <w:spacing w:after="0" w:line="84" w:lineRule="exact"/>
        <w:rPr>
          <w:sz w:val="20"/>
          <w:szCs w:val="20"/>
          <w:color w:val="auto"/>
        </w:rPr>
      </w:pPr>
    </w:p>
    <w:p>
      <w:pPr>
        <w:ind w:left="1380" w:right="1639" w:firstLine="275"/>
        <w:spacing w:after="0" w:line="258" w:lineRule="auto"/>
        <w:rPr>
          <w:sz w:val="20"/>
          <w:szCs w:val="20"/>
          <w:color w:val="auto"/>
        </w:rPr>
      </w:pPr>
      <w:r>
        <w:rPr>
          <w:rFonts w:ascii="Times New Roman" w:cs="Times New Roman" w:eastAsia="Times New Roman" w:hAnsi="Times New Roman"/>
          <w:sz w:val="14"/>
          <w:szCs w:val="14"/>
          <w:color w:val="auto"/>
        </w:rPr>
        <w:t>This prospectus incorporates by reference the documents listed below that we have previously filed with the SEC, except to the extent that any information in such filings, including subsequent filings, is deemed “furnished” but not “filed” in accordance with SEC rules:</w:t>
      </w:r>
    </w:p>
    <w:p>
      <w:pPr>
        <w:spacing w:after="0" w:line="58" w:lineRule="exact"/>
        <w:rPr>
          <w:sz w:val="20"/>
          <w:szCs w:val="20"/>
          <w:color w:val="auto"/>
        </w:rPr>
      </w:pPr>
    </w:p>
    <w:p>
      <w:pPr>
        <w:ind w:left="1780" w:right="1379" w:hanging="134"/>
        <w:spacing w:after="0" w:line="254" w:lineRule="auto"/>
        <w:tabs>
          <w:tab w:leader="none" w:pos="1780" w:val="left"/>
        </w:tabs>
        <w:numPr>
          <w:ilvl w:val="0"/>
          <w:numId w:val="1"/>
        </w:numPr>
        <w:rPr>
          <w:rFonts w:ascii="Times New Roman" w:cs="Times New Roman" w:eastAsia="Times New Roman" w:hAnsi="Times New Roman"/>
          <w:sz w:val="14"/>
          <w:szCs w:val="14"/>
          <w:color w:val="0000EE"/>
        </w:rPr>
      </w:pPr>
      <w:hyperlink r:id="rId16">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u w:val="single" w:color="auto"/>
            <w:color w:val="0000EE"/>
          </w:rPr>
          <w:t>Annual Report on Form 10-K for the fiscal year ended December 31, 2025, filed with the SEC on</w:t>
        </w:r>
      </w:hyperlink>
      <w:r>
        <w:rPr>
          <w:rFonts w:ascii="Times New Roman" w:cs="Times New Roman" w:eastAsia="Times New Roman" w:hAnsi="Times New Roman"/>
          <w:sz w:val="14"/>
          <w:szCs w:val="14"/>
          <w:color w:val="auto"/>
        </w:rPr>
        <w:t xml:space="preserve"> </w:t>
      </w:r>
      <w:hyperlink r:id="rId34">
        <w:r>
          <w:rPr>
            <w:rFonts w:ascii="Times New Roman" w:cs="Times New Roman" w:eastAsia="Times New Roman" w:hAnsi="Times New Roman"/>
            <w:sz w:val="14"/>
            <w:szCs w:val="14"/>
            <w:u w:val="single" w:color="auto"/>
            <w:color w:val="0000EE"/>
          </w:rPr>
          <w:t>March 6, 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(including portions of our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Definitive Proxy Statement for our 2026 Annual Meeting</w:t>
        </w:r>
      </w:hyperlink>
      <w:r>
        <w:rPr>
          <w:rFonts w:ascii="Times New Roman" w:cs="Times New Roman" w:eastAsia="Times New Roman" w:hAnsi="Times New Roman"/>
          <w:sz w:val="14"/>
          <w:szCs w:val="14"/>
          <w:color w:val="0000EE"/>
        </w:rPr>
        <w:t xml:space="preserve"> </w:t>
      </w:r>
      <w:hyperlink r:id="rId34">
        <w:r>
          <w:rPr>
            <w:rFonts w:ascii="Times New Roman" w:cs="Times New Roman" w:eastAsia="Times New Roman" w:hAnsi="Times New Roman"/>
            <w:sz w:val="14"/>
            <w:szCs w:val="14"/>
            <w:u w:val="single" w:color="auto"/>
            <w:color w:val="0000EE"/>
          </w:rPr>
          <w:t>of Shareholders filed with the SEC on April 8, 2026</w:t>
        </w:r>
        <w:r>
          <w:rPr>
            <w:rFonts w:ascii="Times New Roman" w:cs="Times New Roman" w:eastAsia="Times New Roman" w:hAnsi="Times New Roman"/>
            <w:sz w:val="14"/>
            <w:szCs w:val="14"/>
            <w:color w:val="000000"/>
          </w:rPr>
          <w:t>, to the extent specifically incorporated by</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reference in such Form 10-K);</w:t>
      </w:r>
    </w:p>
    <w:p>
      <w:pPr>
        <w:spacing w:after="0" w:line="60" w:lineRule="exact"/>
        <w:rPr>
          <w:rFonts w:ascii="Times New Roman" w:cs="Times New Roman" w:eastAsia="Times New Roman" w:hAnsi="Times New Roman"/>
          <w:sz w:val="14"/>
          <w:szCs w:val="14"/>
          <w:color w:val="0000EE"/>
        </w:rPr>
      </w:pPr>
    </w:p>
    <w:p>
      <w:pPr>
        <w:ind w:left="1780" w:right="1659" w:hanging="134"/>
        <w:spacing w:after="0" w:line="271" w:lineRule="auto"/>
        <w:tabs>
          <w:tab w:leader="none" w:pos="1780" w:val="left"/>
        </w:tabs>
        <w:numPr>
          <w:ilvl w:val="0"/>
          <w:numId w:val="1"/>
        </w:numPr>
        <w:rPr>
          <w:rFonts w:ascii="Times New Roman" w:cs="Times New Roman" w:eastAsia="Times New Roman" w:hAnsi="Times New Roman"/>
          <w:sz w:val="14"/>
          <w:szCs w:val="14"/>
          <w:color w:val="0000EE"/>
        </w:rPr>
      </w:pPr>
      <w:hyperlink r:id="rId17">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u w:val="single" w:color="auto"/>
            <w:color w:val="0000EE"/>
          </w:rPr>
          <w:t>Quarterly Report on Form 10-Q for the quarter ended March 31, 2026, filed with the SEC on</w:t>
        </w:r>
      </w:hyperlink>
      <w:r>
        <w:rPr>
          <w:rFonts w:ascii="Times New Roman" w:cs="Times New Roman" w:eastAsia="Times New Roman" w:hAnsi="Times New Roman"/>
          <w:sz w:val="14"/>
          <w:szCs w:val="14"/>
          <w:color w:val="auto"/>
        </w:rPr>
        <w:t xml:space="preserve"> </w:t>
      </w:r>
      <w:hyperlink r:id="rId17">
        <w:r>
          <w:rPr>
            <w:rFonts w:ascii="Times New Roman" w:cs="Times New Roman" w:eastAsia="Times New Roman" w:hAnsi="Times New Roman"/>
            <w:sz w:val="14"/>
            <w:szCs w:val="14"/>
            <w:u w:val="single" w:color="auto"/>
            <w:color w:val="0000EE"/>
          </w:rPr>
          <w:t>May 6, 2026</w:t>
        </w:r>
        <w:r>
          <w:rPr>
            <w:rFonts w:ascii="Times New Roman" w:cs="Times New Roman" w:eastAsia="Times New Roman" w:hAnsi="Times New Roman"/>
            <w:sz w:val="14"/>
            <w:szCs w:val="14"/>
            <w:color w:val="000000"/>
          </w:rPr>
          <w:t>; and</w:t>
        </w:r>
      </w:hyperlink>
    </w:p>
    <w:p>
      <w:pPr>
        <w:spacing w:after="0" w:line="48" w:lineRule="exact"/>
        <w:rPr>
          <w:rFonts w:ascii="Times New Roman" w:cs="Times New Roman" w:eastAsia="Times New Roman" w:hAnsi="Times New Roman"/>
          <w:sz w:val="14"/>
          <w:szCs w:val="14"/>
          <w:color w:val="0000EE"/>
        </w:rPr>
      </w:pPr>
    </w:p>
    <w:p>
      <w:pPr>
        <w:ind w:left="1780" w:right="1439" w:hanging="134"/>
        <w:spacing w:after="0" w:line="254" w:lineRule="auto"/>
        <w:tabs>
          <w:tab w:leader="none" w:pos="1780" w:val="left"/>
        </w:tabs>
        <w:numPr>
          <w:ilvl w:val="0"/>
          <w:numId w:val="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each of </w:t>
      </w:r>
      <w:hyperlink r:id="rId35">
        <w:r>
          <w:rPr>
            <w:rFonts w:ascii="Times New Roman" w:cs="Times New Roman" w:eastAsia="Times New Roman" w:hAnsi="Times New Roman"/>
            <w:sz w:val="14"/>
            <w:szCs w:val="14"/>
            <w:u w:val="single" w:color="auto"/>
            <w:color w:val="0000EE"/>
          </w:rPr>
          <w:t>January 28, 2026</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February 2, 2026</w:t>
        </w:r>
      </w:hyperlink>
      <w:r>
        <w:rPr>
          <w:rFonts w:ascii="Times New Roman" w:cs="Times New Roman" w:eastAsia="Times New Roman" w:hAnsi="Times New Roman"/>
          <w:sz w:val="14"/>
          <w:szCs w:val="14"/>
          <w:color w:val="auto"/>
        </w:rPr>
        <w:t xml:space="preserve">, </w:t>
      </w:r>
      <w:hyperlink r:id="rId37">
        <w:r>
          <w:rPr>
            <w:rFonts w:ascii="Times New Roman" w:cs="Times New Roman" w:eastAsia="Times New Roman" w:hAnsi="Times New Roman"/>
            <w:sz w:val="14"/>
            <w:szCs w:val="14"/>
            <w:u w:val="single" w:color="auto"/>
            <w:color w:val="0000EE"/>
          </w:rPr>
          <w:t>March 2,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38">
        <w:r>
          <w:rPr>
            <w:rFonts w:ascii="Times New Roman" w:cs="Times New Roman" w:eastAsia="Times New Roman" w:hAnsi="Times New Roman"/>
            <w:sz w:val="14"/>
            <w:szCs w:val="14"/>
            <w:u w:val="single" w:color="auto"/>
            <w:color w:val="0000EE"/>
          </w:rPr>
          <w:t>March 11,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39">
        <w:r>
          <w:rPr>
            <w:rFonts w:ascii="Times New Roman" w:cs="Times New Roman" w:eastAsia="Times New Roman" w:hAnsi="Times New Roman"/>
            <w:sz w:val="14"/>
            <w:szCs w:val="14"/>
            <w:u w:val="single" w:color="auto"/>
            <w:color w:val="0000EE"/>
          </w:rPr>
          <w:t>March 25,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40">
        <w:r>
          <w:rPr>
            <w:rFonts w:ascii="Times New Roman" w:cs="Times New Roman" w:eastAsia="Times New Roman" w:hAnsi="Times New Roman"/>
            <w:sz w:val="14"/>
            <w:szCs w:val="14"/>
            <w:u w:val="single" w:color="auto"/>
            <w:color w:val="0000EE"/>
          </w:rPr>
          <w:t>April 29,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41">
        <w:r>
          <w:rPr>
            <w:rFonts w:ascii="Times New Roman" w:cs="Times New Roman" w:eastAsia="Times New Roman" w:hAnsi="Times New Roman"/>
            <w:sz w:val="14"/>
            <w:szCs w:val="14"/>
            <w:u w:val="single" w:color="auto"/>
            <w:color w:val="0000EE"/>
          </w:rPr>
          <w:t>April 29,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42">
        <w:r>
          <w:rPr>
            <w:rFonts w:ascii="Times New Roman" w:cs="Times New Roman" w:eastAsia="Times New Roman" w:hAnsi="Times New Roman"/>
            <w:sz w:val="14"/>
            <w:szCs w:val="14"/>
            <w:u w:val="single" w:color="auto"/>
            <w:color w:val="0000EE"/>
          </w:rPr>
          <w:t>May 21, 2026</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(except to the extent any such Current Reports on Form 8-K contain any information furnished but not filed).</w:t>
      </w:r>
    </w:p>
    <w:p>
      <w:pPr>
        <w:spacing w:after="0" w:line="91" w:lineRule="exact"/>
        <w:rPr>
          <w:rFonts w:ascii="Times New Roman" w:cs="Times New Roman" w:eastAsia="Times New Roman" w:hAnsi="Times New Roman"/>
          <w:sz w:val="14"/>
          <w:szCs w:val="14"/>
          <w:color w:val="0000EE"/>
        </w:rPr>
      </w:pPr>
    </w:p>
    <w:p>
      <w:pPr>
        <w:ind w:left="1380" w:right="1519" w:firstLine="275"/>
        <w:spacing w:after="0" w:line="250" w:lineRule="auto"/>
        <w:rPr>
          <w:sz w:val="20"/>
          <w:szCs w:val="20"/>
          <w:color w:val="auto"/>
        </w:rPr>
      </w:pPr>
      <w:r>
        <w:rPr>
          <w:rFonts w:ascii="Times New Roman" w:cs="Times New Roman" w:eastAsia="Times New Roman" w:hAnsi="Times New Roman"/>
          <w:sz w:val="14"/>
          <w:szCs w:val="14"/>
          <w:color w:val="auto"/>
        </w:rPr>
        <w:t>We are also incorporating by reference all other documents that we subsequently file with the SEC pursuant to Section 13(a), 13(c), 14 or 15(d) of the Exchange Act, after the date of the initial registration statement of which this prospectus is a part but prior to the effectiveness of the registration statement and between the date of this prospectus and the later of (i) the termination or completion of the exchange offer and (ii) the termination of the period of time described under “Plan of Distribution” during which we have agreed to make available this prospectus to broker-dealers in connection with certain resales of the New Notes.</w:t>
      </w: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392"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 w:name="page6"/>
    <w:bookmarkEnd w:id="5"/>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519" w:firstLine="275"/>
        <w:spacing w:after="0" w:line="244" w:lineRule="auto"/>
        <w:rPr>
          <w:sz w:val="20"/>
          <w:szCs w:val="20"/>
          <w:color w:val="auto"/>
        </w:rPr>
      </w:pPr>
      <w:r>
        <w:rPr>
          <w:rFonts w:ascii="Times New Roman" w:cs="Times New Roman" w:eastAsia="Times New Roman" w:hAnsi="Times New Roman"/>
          <w:sz w:val="14"/>
          <w:szCs w:val="14"/>
          <w:color w:val="auto"/>
        </w:rPr>
        <w:t>You may obtain a copy of any or all of the documents incorporated by reference in this prospectus (other than an exhibit to a document unless that exhibit is specifically incorporated by reference into that document) from the SEC through the SEC’s Internet site at http://www.sec.gov. You also may obtain these documents from us without charge by visiting our website at https://ir.hbtfinancial.com or by requesting them in writing, by e-mail or by telephone from us at the following address:</w:t>
      </w:r>
    </w:p>
    <w:p>
      <w:pPr>
        <w:spacing w:after="0" w:line="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HBT Financial, Inc.</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Attention: Investor Relations</w:t>
      </w:r>
    </w:p>
    <w:p>
      <w:pPr>
        <w:jc w:val="center"/>
        <w:ind w:right="59"/>
        <w:spacing w:after="0"/>
        <w:rPr>
          <w:sz w:val="20"/>
          <w:szCs w:val="20"/>
          <w:color w:val="auto"/>
        </w:rPr>
      </w:pPr>
      <w:r>
        <w:rPr>
          <w:rFonts w:ascii="Times New Roman" w:cs="Times New Roman" w:eastAsia="Times New Roman" w:hAnsi="Times New Roman"/>
          <w:sz w:val="14"/>
          <w:szCs w:val="14"/>
          <w:color w:val="auto"/>
        </w:rPr>
        <w:t>401 North Hershey Road</w:t>
      </w:r>
    </w:p>
    <w:p>
      <w:pPr>
        <w:ind w:left="3660"/>
        <w:spacing w:after="0" w:line="236" w:lineRule="auto"/>
        <w:rPr>
          <w:sz w:val="20"/>
          <w:szCs w:val="20"/>
          <w:color w:val="auto"/>
        </w:rPr>
      </w:pPr>
      <w:r>
        <w:rPr>
          <w:rFonts w:ascii="Times New Roman" w:cs="Times New Roman" w:eastAsia="Times New Roman" w:hAnsi="Times New Roman"/>
          <w:sz w:val="14"/>
          <w:szCs w:val="14"/>
          <w:color w:val="auto"/>
        </w:rPr>
        <w:t>Bloomington, Illinois 61704</w:t>
      </w:r>
    </w:p>
    <w:p>
      <w:pPr>
        <w:ind w:left="3700"/>
        <w:spacing w:after="0" w:line="230" w:lineRule="auto"/>
        <w:rPr>
          <w:sz w:val="20"/>
          <w:szCs w:val="20"/>
          <w:color w:val="auto"/>
        </w:rPr>
      </w:pPr>
      <w:r>
        <w:rPr>
          <w:rFonts w:ascii="Times New Roman" w:cs="Times New Roman" w:eastAsia="Times New Roman" w:hAnsi="Times New Roman"/>
          <w:sz w:val="14"/>
          <w:szCs w:val="14"/>
          <w:color w:val="auto"/>
        </w:rPr>
        <w:t>Telephone: (888) 897-2276</w:t>
      </w:r>
    </w:p>
    <w:p>
      <w:pPr>
        <w:ind w:left="3620"/>
        <w:spacing w:after="0"/>
        <w:rPr>
          <w:sz w:val="20"/>
          <w:szCs w:val="20"/>
          <w:color w:val="auto"/>
        </w:rPr>
      </w:pPr>
      <w:r>
        <w:rPr>
          <w:rFonts w:ascii="Times New Roman" w:cs="Times New Roman" w:eastAsia="Times New Roman" w:hAnsi="Times New Roman"/>
          <w:sz w:val="14"/>
          <w:szCs w:val="14"/>
          <w:color w:val="auto"/>
        </w:rPr>
        <w:t>E-mail: HBTIR@hbtbank.com</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11" w:lineRule="exact"/>
        <w:rPr>
          <w:sz w:val="20"/>
          <w:szCs w:val="20"/>
          <w:color w:val="auto"/>
        </w:rPr>
      </w:pPr>
    </w:p>
    <w:p>
      <w:pPr>
        <w:ind w:left="1380" w:right="1479" w:firstLine="275"/>
        <w:spacing w:after="0" w:line="238" w:lineRule="auto"/>
        <w:rPr>
          <w:sz w:val="20"/>
          <w:szCs w:val="20"/>
          <w:color w:val="auto"/>
        </w:rPr>
      </w:pPr>
      <w:r>
        <w:rPr>
          <w:rFonts w:ascii="Times New Roman" w:cs="Times New Roman" w:eastAsia="Times New Roman" w:hAnsi="Times New Roman"/>
          <w:sz w:val="14"/>
          <w:szCs w:val="14"/>
          <w:color w:val="auto"/>
        </w:rPr>
        <w:t>This prospectus, any related prospectus supplement and the documents we incorporate by reference in this prospectus and any related prospectus supplement may contain statements that constitute “forward-looking statements” within the meanings of the Private Securities Litigation Reform Act of 1995, Section 27A of the Securities Act of 1933 and Section 21E of the Securities Exchange Act of 1934, as amended. Forward-looking statements generally can be identified by the use of forward-looking terminology such as “will,” “propose,” “may,” “plan,” “seek,” “expect,” “intend,” “estimate,” “anticipate,” “believe,” “continue,” or “should,” or similar terminology and the negative forms of such words. Forward-looking statements are frequently based on assumptions that may or may not materialize and are subject to numerous uncertainties that could cause actual results to differ materially from those anticipated in the forward-looking statements. Factors that could cause actual results to differ materially from the results anticipated or projected and which could materially and adversely affect our operating results, financial condition or prospects include, but are not limited to:</w:t>
      </w:r>
    </w:p>
    <w:p>
      <w:pPr>
        <w:spacing w:after="0" w:line="63" w:lineRule="exact"/>
        <w:rPr>
          <w:sz w:val="20"/>
          <w:szCs w:val="20"/>
          <w:color w:val="auto"/>
        </w:rPr>
      </w:pPr>
    </w:p>
    <w:p>
      <w:pPr>
        <w:ind w:left="1780" w:right="1399" w:hanging="134"/>
        <w:spacing w:after="0" w:line="258"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the local, state, national, and international economies and financial markets (including effects of inflationary pressures, global energy market conditions, the threat or implementation of tariffs, immigration enforcement and changes in foreign policy);</w:t>
      </w:r>
    </w:p>
    <w:p>
      <w:pPr>
        <w:spacing w:after="0" w:line="57" w:lineRule="exact"/>
        <w:rPr>
          <w:rFonts w:ascii="Times New Roman" w:cs="Times New Roman" w:eastAsia="Times New Roman" w:hAnsi="Times New Roman"/>
          <w:sz w:val="14"/>
          <w:szCs w:val="14"/>
          <w:color w:val="auto"/>
        </w:rPr>
      </w:pPr>
    </w:p>
    <w:p>
      <w:pPr>
        <w:ind w:left="1780" w:right="2019" w:hanging="134"/>
        <w:spacing w:after="0" w:line="271"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policy changes in, and the interpretation and prioritization of, local, state and federal laws, regulations and governmental policies, including executive orders;</w:t>
      </w:r>
    </w:p>
    <w:p>
      <w:pPr>
        <w:spacing w:after="0" w:line="38" w:lineRule="exact"/>
        <w:rPr>
          <w:rFonts w:ascii="Times New Roman" w:cs="Times New Roman" w:eastAsia="Times New Roman" w:hAnsi="Times New Roman"/>
          <w:sz w:val="14"/>
          <w:szCs w:val="14"/>
          <w:color w:val="auto"/>
        </w:rPr>
      </w:pPr>
    </w:p>
    <w:p>
      <w:pPr>
        <w:ind w:left="1780" w:right="1599" w:hanging="134"/>
        <w:spacing w:after="0" w:line="252"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economic impact of any future terrorist threats and attacks, widespread disease or pandemics, acts of war or other threats thereof (including the Russian invasion of Ukraine and the conflicts in the Middle East), or other adverse events that could cause economic deterioration or instability in credit markets, and the response of the local, state and national governments to any such adverse external events;</w:t>
      </w:r>
    </w:p>
    <w:p>
      <w:pPr>
        <w:spacing w:after="0" w:line="61" w:lineRule="exact"/>
        <w:rPr>
          <w:rFonts w:ascii="Times New Roman" w:cs="Times New Roman" w:eastAsia="Times New Roman" w:hAnsi="Times New Roman"/>
          <w:sz w:val="14"/>
          <w:szCs w:val="14"/>
          <w:color w:val="auto"/>
        </w:rPr>
      </w:pPr>
    </w:p>
    <w:p>
      <w:pPr>
        <w:ind w:left="1780" w:right="1419" w:hanging="134"/>
        <w:spacing w:after="0" w:line="258"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and revised accounting policies and practices, as may be adopted by state and federal regulatory banking agencies, the Financial Accounting Standards Board or the Public Company Accounting Oversight Board;</w:t>
      </w:r>
    </w:p>
    <w:p>
      <w:pPr>
        <w:spacing w:after="0" w:line="57" w:lineRule="exact"/>
        <w:rPr>
          <w:rFonts w:ascii="Times New Roman" w:cs="Times New Roman" w:eastAsia="Times New Roman" w:hAnsi="Times New Roman"/>
          <w:sz w:val="14"/>
          <w:szCs w:val="14"/>
          <w:color w:val="auto"/>
        </w:rPr>
      </w:pPr>
    </w:p>
    <w:p>
      <w:pPr>
        <w:ind w:left="1780" w:right="1459" w:hanging="134"/>
        <w:spacing w:after="0" w:line="271"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imposition of tariffs or other governmental policies impacting the value of products produced by the Company’s commercial borrowers;</w:t>
      </w:r>
    </w:p>
    <w:p>
      <w:pPr>
        <w:spacing w:after="0" w:line="48"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and prepayment rates of the Company’s assets;</w:t>
      </w:r>
    </w:p>
    <w:p>
      <w:pPr>
        <w:spacing w:after="0" w:line="76" w:lineRule="exact"/>
        <w:rPr>
          <w:rFonts w:ascii="Times New Roman" w:cs="Times New Roman" w:eastAsia="Times New Roman" w:hAnsi="Times New Roman"/>
          <w:sz w:val="14"/>
          <w:szCs w:val="14"/>
          <w:color w:val="auto"/>
        </w:rPr>
      </w:pPr>
    </w:p>
    <w:p>
      <w:pPr>
        <w:jc w:val="both"/>
        <w:ind w:left="1780" w:right="1479" w:hanging="134"/>
        <w:spacing w:after="0" w:line="258"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in the financial services sector, including from non-bank competitors such as credit unions, private credit firms, fintech companies and digital asset providers, and the inability to attract new customers;</w:t>
      </w:r>
    </w:p>
    <w:p>
      <w:pPr>
        <w:spacing w:after="0" w:line="57" w:lineRule="exact"/>
        <w:rPr>
          <w:rFonts w:ascii="Times New Roman" w:cs="Times New Roman" w:eastAsia="Times New Roman" w:hAnsi="Times New Roman"/>
          <w:sz w:val="14"/>
          <w:szCs w:val="14"/>
          <w:color w:val="auto"/>
        </w:rPr>
      </w:pPr>
    </w:p>
    <w:p>
      <w:pPr>
        <w:ind w:left="1780" w:right="1419" w:hanging="134"/>
        <w:spacing w:after="0" w:line="258"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changes implemented by us and other parties, including our third-party vendors, which may have unforeseen consequences to us and our customers, including the development and implementation of tools incorporating artificial intelligence;</w:t>
      </w:r>
    </w:p>
    <w:p>
      <w:pPr>
        <w:spacing w:after="0" w:line="57" w:lineRule="exact"/>
        <w:rPr>
          <w:rFonts w:ascii="Times New Roman" w:cs="Times New Roman" w:eastAsia="Times New Roman" w:hAnsi="Times New Roman"/>
          <w:sz w:val="14"/>
          <w:szCs w:val="14"/>
          <w:color w:val="auto"/>
        </w:rPr>
      </w:pPr>
    </w:p>
    <w:p>
      <w:pPr>
        <w:ind w:left="1780" w:right="1599" w:hanging="134"/>
        <w:spacing w:after="0" w:line="271"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results of acquisitions, which may include failure to realize the anticipated benefits of acquisitions and the possibility that transaction costs may be greater than anticipated;</w:t>
      </w:r>
    </w:p>
    <w:p>
      <w:pPr>
        <w:spacing w:after="0" w:line="38"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executives and employees, talent shortages and employee turnover;</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6" w:name="page7"/>
    <w:bookmarkEnd w:id="6"/>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80" w:hanging="134"/>
        <w:spacing w:after="0"/>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spending;</w:t>
      </w:r>
    </w:p>
    <w:p>
      <w:pPr>
        <w:spacing w:after="0" w:line="86" w:lineRule="exact"/>
        <w:rPr>
          <w:rFonts w:ascii="Times New Roman" w:cs="Times New Roman" w:eastAsia="Times New Roman" w:hAnsi="Times New Roman"/>
          <w:sz w:val="14"/>
          <w:szCs w:val="14"/>
          <w:color w:val="auto"/>
        </w:rPr>
      </w:pPr>
    </w:p>
    <w:p>
      <w:pPr>
        <w:ind w:left="1780" w:right="1459" w:hanging="134"/>
        <w:spacing w:after="0" w:line="271"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outcomes or costs of existing or new litigation or other legal proceedings and regulatory actions involving the Company, including the acquisition of CNB Bank Shares, Inc.;</w:t>
      </w:r>
    </w:p>
    <w:p>
      <w:pPr>
        <w:spacing w:after="0" w:line="48" w:lineRule="exact"/>
        <w:rPr>
          <w:rFonts w:ascii="Times New Roman" w:cs="Times New Roman" w:eastAsia="Times New Roman" w:hAnsi="Times New Roman"/>
          <w:sz w:val="14"/>
          <w:szCs w:val="14"/>
          <w:color w:val="auto"/>
        </w:rPr>
      </w:pPr>
    </w:p>
    <w:p>
      <w:pPr>
        <w:ind w:left="1780" w:right="1559" w:hanging="134"/>
        <w:spacing w:after="0" w:line="271"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economic impact on the Company and its customers of climate change, natural disasters and of exceptional weather occurrences such as tornadoes, floods and blizzards;</w:t>
      </w:r>
    </w:p>
    <w:p>
      <w:pPr>
        <w:spacing w:after="0" w:line="48" w:lineRule="exact"/>
        <w:rPr>
          <w:rFonts w:ascii="Times New Roman" w:cs="Times New Roman" w:eastAsia="Times New Roman" w:hAnsi="Times New Roman"/>
          <w:sz w:val="14"/>
          <w:szCs w:val="14"/>
          <w:color w:val="auto"/>
        </w:rPr>
      </w:pPr>
    </w:p>
    <w:p>
      <w:pPr>
        <w:ind w:left="1780" w:right="1419" w:hanging="134"/>
        <w:spacing w:after="0" w:line="271"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value of securities held in our securities portfolio, including as a result of changes in interest rates;</w:t>
      </w:r>
    </w:p>
    <w:p>
      <w:pPr>
        <w:spacing w:after="0" w:line="48" w:lineRule="exact"/>
        <w:rPr>
          <w:rFonts w:ascii="Times New Roman" w:cs="Times New Roman" w:eastAsia="Times New Roman" w:hAnsi="Times New Roman"/>
          <w:sz w:val="14"/>
          <w:szCs w:val="14"/>
          <w:color w:val="auto"/>
        </w:rPr>
      </w:pPr>
    </w:p>
    <w:p>
      <w:pPr>
        <w:ind w:left="1780" w:right="1419" w:hanging="134"/>
        <w:spacing w:after="0" w:line="258"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risks and risks from concentrations (by type of borrower, geographic area, collateral and industry) within our loan portfolio (including commercial real estate loans) and large loans to certain borrowers;</w:t>
      </w:r>
    </w:p>
    <w:p>
      <w:pPr>
        <w:spacing w:after="0" w:line="57"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health of the local and national real estate market;</w:t>
      </w:r>
    </w:p>
    <w:p>
      <w:pPr>
        <w:spacing w:after="0" w:line="86"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maintain an adequate level of allowance for credit losses on loans;</w:t>
      </w:r>
    </w:p>
    <w:p>
      <w:pPr>
        <w:spacing w:after="0" w:line="86" w:lineRule="exact"/>
        <w:rPr>
          <w:rFonts w:ascii="Times New Roman" w:cs="Times New Roman" w:eastAsia="Times New Roman" w:hAnsi="Times New Roman"/>
          <w:sz w:val="14"/>
          <w:szCs w:val="14"/>
          <w:color w:val="auto"/>
        </w:rPr>
      </w:pPr>
    </w:p>
    <w:p>
      <w:pPr>
        <w:ind w:left="1780" w:right="1779" w:hanging="134"/>
        <w:spacing w:after="0" w:line="271"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concentration of large deposits from certain clients who have balances above current FDIC insurance limits and who may withdraw deposits to diversify their exposure;</w:t>
      </w:r>
    </w:p>
    <w:p>
      <w:pPr>
        <w:spacing w:after="0" w:line="48" w:lineRule="exact"/>
        <w:rPr>
          <w:rFonts w:ascii="Times New Roman" w:cs="Times New Roman" w:eastAsia="Times New Roman" w:hAnsi="Times New Roman"/>
          <w:sz w:val="14"/>
          <w:szCs w:val="14"/>
          <w:color w:val="auto"/>
        </w:rPr>
      </w:pPr>
    </w:p>
    <w:p>
      <w:pPr>
        <w:ind w:left="1780" w:right="1459" w:hanging="134"/>
        <w:spacing w:after="0" w:line="271"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successfully manage liquidity risk, which may increase dependence on non-core funding sources such as brokered deposits, and may negatively impact the Company’s cost of funds;</w:t>
      </w:r>
    </w:p>
    <w:p>
      <w:pPr>
        <w:spacing w:after="0" w:line="48"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nonperforming assets on our balance sheets;</w:t>
      </w:r>
    </w:p>
    <w:p>
      <w:pPr>
        <w:spacing w:after="0" w:line="86" w:lineRule="exact"/>
        <w:rPr>
          <w:rFonts w:ascii="Times New Roman" w:cs="Times New Roman" w:eastAsia="Times New Roman" w:hAnsi="Times New Roman"/>
          <w:sz w:val="14"/>
          <w:szCs w:val="14"/>
          <w:color w:val="auto"/>
        </w:rPr>
      </w:pPr>
    </w:p>
    <w:p>
      <w:pPr>
        <w:ind w:left="1780" w:right="1699" w:hanging="134"/>
        <w:spacing w:after="0" w:line="271"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involving our information technology and communications systems or those of our third-party servicers;</w:t>
      </w:r>
    </w:p>
    <w:p>
      <w:pPr>
        <w:spacing w:after="0" w:line="48" w:lineRule="exact"/>
        <w:rPr>
          <w:rFonts w:ascii="Times New Roman" w:cs="Times New Roman" w:eastAsia="Times New Roman" w:hAnsi="Times New Roman"/>
          <w:sz w:val="14"/>
          <w:szCs w:val="14"/>
          <w:color w:val="auto"/>
        </w:rPr>
      </w:pPr>
    </w:p>
    <w:p>
      <w:pPr>
        <w:jc w:val="both"/>
        <w:ind w:left="1780" w:right="1639" w:hanging="134"/>
        <w:spacing w:after="0" w:line="258"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fraudulent activity, breaches or failures of our third-party vendors’ information security controls or cybersecurity-related incidents, including as a result of sophisticated attacks using artificial intelligence and similar tools or as a result of insider fraud;</w:t>
      </w:r>
    </w:p>
    <w:p>
      <w:pPr>
        <w:spacing w:after="0" w:line="57" w:lineRule="exact"/>
        <w:rPr>
          <w:rFonts w:ascii="Times New Roman" w:cs="Times New Roman" w:eastAsia="Times New Roman" w:hAnsi="Times New Roman"/>
          <w:sz w:val="14"/>
          <w:szCs w:val="14"/>
          <w:color w:val="auto"/>
        </w:rPr>
      </w:pPr>
    </w:p>
    <w:p>
      <w:pPr>
        <w:ind w:left="1780" w:right="1439" w:hanging="134"/>
        <w:spacing w:after="0" w:line="271"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the Company’s risk management framework and internal disclosure controls and procedures;</w:t>
      </w:r>
    </w:p>
    <w:p>
      <w:pPr>
        <w:spacing w:after="0" w:line="48" w:lineRule="exact"/>
        <w:rPr>
          <w:rFonts w:ascii="Times New Roman" w:cs="Times New Roman" w:eastAsia="Times New Roman" w:hAnsi="Times New Roman"/>
          <w:sz w:val="14"/>
          <w:szCs w:val="14"/>
          <w:color w:val="auto"/>
        </w:rPr>
      </w:pPr>
    </w:p>
    <w:p>
      <w:pPr>
        <w:ind w:left="1780" w:right="1499" w:hanging="134"/>
        <w:spacing w:after="0" w:line="271"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Company to manage the risks associated with the foregoing as well as anticipated; and</w:t>
      </w:r>
    </w:p>
    <w:p>
      <w:pPr>
        <w:spacing w:after="0" w:line="48" w:lineRule="exact"/>
        <w:rPr>
          <w:rFonts w:ascii="Times New Roman" w:cs="Times New Roman" w:eastAsia="Times New Roman" w:hAnsi="Times New Roman"/>
          <w:sz w:val="14"/>
          <w:szCs w:val="14"/>
          <w:color w:val="auto"/>
        </w:rPr>
      </w:pPr>
    </w:p>
    <w:p>
      <w:pPr>
        <w:ind w:left="1780" w:right="1419" w:hanging="134"/>
        <w:spacing w:after="0" w:line="252"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factors and risks identified in the “Risk Factors” sections included under Item 1A. of Part I of our Annual Report on Form 10-K for the year ended December 31, 2025, under Item 1A. of Part II of our Quarterly Report on Form 10-Q for the quarter ended March 31, 2026, and in the “Risk Factors” sections of this prospectus and any applicable prospectus supplement and any other risks or uncertainties set forth from time to time in our filings with the SEC.</w:t>
      </w:r>
    </w:p>
    <w:p>
      <w:pPr>
        <w:spacing w:after="0" w:line="93" w:lineRule="exact"/>
        <w:rPr>
          <w:sz w:val="20"/>
          <w:szCs w:val="20"/>
          <w:color w:val="auto"/>
        </w:rPr>
      </w:pPr>
    </w:p>
    <w:p>
      <w:pPr>
        <w:ind w:left="1380" w:right="1779" w:firstLine="275"/>
        <w:spacing w:after="0" w:line="254" w:lineRule="auto"/>
        <w:rPr>
          <w:sz w:val="20"/>
          <w:szCs w:val="20"/>
          <w:color w:val="auto"/>
        </w:rPr>
      </w:pPr>
      <w:r>
        <w:rPr>
          <w:rFonts w:ascii="Times New Roman" w:cs="Times New Roman" w:eastAsia="Times New Roman" w:hAnsi="Times New Roman"/>
          <w:sz w:val="14"/>
          <w:szCs w:val="14"/>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You should not rely upon forward-looking statements as predictions of future events.</w:t>
      </w:r>
    </w:p>
    <w:p>
      <w:pPr>
        <w:spacing w:after="0" w:line="91" w:lineRule="exact"/>
        <w:rPr>
          <w:sz w:val="20"/>
          <w:szCs w:val="20"/>
          <w:color w:val="auto"/>
        </w:rPr>
      </w:pPr>
    </w:p>
    <w:p>
      <w:pPr>
        <w:ind w:left="1380" w:right="1519" w:firstLine="275"/>
        <w:spacing w:after="0" w:line="252" w:lineRule="auto"/>
        <w:rPr>
          <w:sz w:val="20"/>
          <w:szCs w:val="20"/>
          <w:color w:val="auto"/>
        </w:rPr>
      </w:pPr>
      <w:r>
        <w:rPr>
          <w:rFonts w:ascii="Times New Roman" w:cs="Times New Roman" w:eastAsia="Times New Roman" w:hAnsi="Times New Roman"/>
          <w:sz w:val="14"/>
          <w:szCs w:val="14"/>
          <w:color w:val="auto"/>
        </w:rPr>
        <w:t>Although we believe that the expectations reflected in the forward-looking statements are reasonable, we cannot guarantee future results, levels of activity, performance or achievements. Forward-looking statements speak only as of the date they are made, and the Company undertakes no obligation to update any forward-looking statements contained in this prospectus or any prospectus supplement to reflect new information or events or conditions after the date on which the forward-looking statement was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7" w:name="page8"/>
    <w:bookmarkEnd w:id="7"/>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248920</wp:posOffset>
            </wp:positionV>
            <wp:extent cx="4206875" cy="60782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4206875" cy="6078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17" w:lineRule="exact"/>
        <w:rPr>
          <w:sz w:val="20"/>
          <w:szCs w:val="20"/>
          <w:color w:val="auto"/>
        </w:rPr>
      </w:pPr>
    </w:p>
    <w:p>
      <w:pPr>
        <w:ind w:left="1380" w:right="1399" w:firstLine="275"/>
        <w:spacing w:after="0" w:line="252"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This summary highlights information contained elsewhere in this prospectus and in the documents we incorporate by reference into this prospectus. This summary does not contain all of the information that you should consider before deciding to exchange your Old Notes for New Notes. You should read this prospectus </w:t>
      </w:r>
      <w:hyperlink r:id="rId16">
        <w:r>
          <w:rPr>
            <w:rFonts w:ascii="Times New Roman" w:cs="Times New Roman" w:eastAsia="Times New Roman" w:hAnsi="Times New Roman"/>
            <w:sz w:val="14"/>
            <w:szCs w:val="14"/>
            <w:i w:val="1"/>
            <w:iCs w:val="1"/>
            <w:color w:val="auto"/>
          </w:rPr>
          <w:t xml:space="preserve">carefully, including the “Risk Factors” sections contained in this prospectus, our </w:t>
        </w:r>
        <w:r>
          <w:rPr>
            <w:rFonts w:ascii="Times New Roman" w:cs="Times New Roman" w:eastAsia="Times New Roman" w:hAnsi="Times New Roman"/>
            <w:sz w:val="14"/>
            <w:szCs w:val="14"/>
            <w:i w:val="1"/>
            <w:iCs w:val="1"/>
            <w:u w:val="single" w:color="auto"/>
            <w:color w:val="0000EE"/>
          </w:rPr>
          <w:t>Annual Report on</w:t>
        </w:r>
      </w:hyperlink>
    </w:p>
    <w:p>
      <w:pPr>
        <w:spacing w:after="0" w:line="1" w:lineRule="exact"/>
        <w:rPr>
          <w:sz w:val="20"/>
          <w:szCs w:val="20"/>
          <w:color w:val="auto"/>
        </w:rPr>
      </w:pPr>
    </w:p>
    <w:p>
      <w:pPr>
        <w:ind w:left="1380" w:right="1519"/>
        <w:spacing w:after="0" w:line="246" w:lineRule="auto"/>
        <w:rPr>
          <w:rFonts w:ascii="Times New Roman" w:cs="Times New Roman" w:eastAsia="Times New Roman" w:hAnsi="Times New Roman"/>
          <w:sz w:val="14"/>
          <w:szCs w:val="14"/>
          <w:i w:val="1"/>
          <w:iCs w:val="1"/>
          <w:color w:val="0000EE"/>
        </w:rPr>
      </w:pPr>
      <w:hyperlink r:id="rId17">
        <w:r>
          <w:rPr>
            <w:rFonts w:ascii="Times New Roman" w:cs="Times New Roman" w:eastAsia="Times New Roman" w:hAnsi="Times New Roman"/>
            <w:sz w:val="14"/>
            <w:szCs w:val="14"/>
            <w:i w:val="1"/>
            <w:iCs w:val="1"/>
            <w:u w:val="single" w:color="auto"/>
            <w:color w:val="0000EE"/>
          </w:rPr>
          <w:t>Form 10-K for the fiscal year ended December 31, 2025</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and our</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u w:val="single" w:color="auto"/>
            <w:color w:val="0000EE"/>
          </w:rPr>
          <w:t>Quarterly Report on Form 10-Q for the</w:t>
        </w:r>
      </w:hyperlink>
      <w:r>
        <w:rPr>
          <w:rFonts w:ascii="Times New Roman" w:cs="Times New Roman" w:eastAsia="Times New Roman" w:hAnsi="Times New Roman"/>
          <w:sz w:val="14"/>
          <w:szCs w:val="14"/>
          <w:i w:val="1"/>
          <w:iCs w:val="1"/>
          <w:color w:val="0000EE"/>
        </w:rPr>
        <w:t xml:space="preserve"> </w:t>
      </w:r>
      <w:hyperlink r:id="rId17">
        <w:r>
          <w:rPr>
            <w:rFonts w:ascii="Times New Roman" w:cs="Times New Roman" w:eastAsia="Times New Roman" w:hAnsi="Times New Roman"/>
            <w:sz w:val="14"/>
            <w:szCs w:val="14"/>
            <w:i w:val="1"/>
            <w:iCs w:val="1"/>
            <w:u w:val="single" w:color="auto"/>
            <w:color w:val="0000EE"/>
          </w:rPr>
          <w:t>quarter ended March 31, 2026</w:t>
        </w:r>
        <w:r>
          <w:rPr>
            <w:rFonts w:ascii="Times New Roman" w:cs="Times New Roman" w:eastAsia="Times New Roman" w:hAnsi="Times New Roman"/>
            <w:sz w:val="14"/>
            <w:szCs w:val="14"/>
            <w:i w:val="1"/>
            <w:iCs w:val="1"/>
            <w:color w:val="000000"/>
          </w:rPr>
          <w:t>, each of which is incorporated by reference herein, as updated by our</w:t>
        </w:r>
      </w:hyperlink>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subsequently filed Quarterly Reports on Form 10-Q and Current Reports on Form 8-K, our financial statements and the related notes and the other documents incorporated by reference herein, which are described under the heading “Information Incorporated by Reference” in this prospectus before making a decision about whether to exchange your Old Notes for New Notes.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HBT Financial, Inc.</w:t>
      </w:r>
    </w:p>
    <w:p>
      <w:pPr>
        <w:spacing w:after="0" w:line="121" w:lineRule="exact"/>
        <w:rPr>
          <w:sz w:val="20"/>
          <w:szCs w:val="20"/>
          <w:color w:val="auto"/>
        </w:rPr>
      </w:pPr>
    </w:p>
    <w:p>
      <w:pPr>
        <w:ind w:left="1380" w:right="1399" w:firstLine="275"/>
        <w:spacing w:after="0" w:line="250" w:lineRule="auto"/>
        <w:rPr>
          <w:sz w:val="20"/>
          <w:szCs w:val="20"/>
          <w:color w:val="auto"/>
        </w:rPr>
      </w:pPr>
      <w:r>
        <w:rPr>
          <w:rFonts w:ascii="Times New Roman" w:cs="Times New Roman" w:eastAsia="Times New Roman" w:hAnsi="Times New Roman"/>
          <w:sz w:val="14"/>
          <w:szCs w:val="14"/>
          <w:color w:val="auto"/>
        </w:rPr>
        <w:t>HBT Financial, Inc. is a Delaware corporation headquartered in Bloomington, Illinois, and is the financial holding company for Heartland Bank and Trust Company (the “Bank”). The Company has banking roots that can be traced back to 1920. The Bank provides a comprehensive suite of business, commercial, wealth management, and retail banking products and services to individuals, businesses, and municipal entities throughout Illinois and Eastern Iowa through 83 locations. As of March 31, 2026, the Company had total assets of $6.8 billion, total loans of $4.7 billion, and total deposits of $5.8 billion.</w:t>
      </w:r>
    </w:p>
    <w:p>
      <w:pPr>
        <w:spacing w:after="0" w:line="86" w:lineRule="exact"/>
        <w:rPr>
          <w:sz w:val="20"/>
          <w:szCs w:val="20"/>
          <w:color w:val="auto"/>
        </w:rPr>
      </w:pPr>
    </w:p>
    <w:p>
      <w:pPr>
        <w:ind w:left="1380" w:right="1439" w:firstLine="275"/>
        <w:spacing w:after="0" w:line="271" w:lineRule="auto"/>
        <w:rPr>
          <w:sz w:val="20"/>
          <w:szCs w:val="20"/>
          <w:color w:val="auto"/>
        </w:rPr>
      </w:pPr>
      <w:r>
        <w:rPr>
          <w:rFonts w:ascii="Times New Roman" w:cs="Times New Roman" w:eastAsia="Times New Roman" w:hAnsi="Times New Roman"/>
          <w:sz w:val="14"/>
          <w:szCs w:val="14"/>
          <w:color w:val="auto"/>
        </w:rPr>
        <w:t>Our principal executive office is located at 401 North Hershey Road, Bloomington, Illinois 61704, and our telephone number at that address is (888) 897-2276.</w:t>
      </w:r>
    </w:p>
    <w:p>
      <w:pPr>
        <w:spacing w:after="0" w:line="80" w:lineRule="exact"/>
        <w:rPr>
          <w:sz w:val="20"/>
          <w:szCs w:val="20"/>
          <w:color w:val="auto"/>
        </w:rPr>
      </w:pPr>
    </w:p>
    <w:p>
      <w:pPr>
        <w:ind w:left="1380" w:right="1419" w:firstLine="275"/>
        <w:spacing w:after="0" w:line="258" w:lineRule="auto"/>
        <w:rPr>
          <w:sz w:val="20"/>
          <w:szCs w:val="20"/>
          <w:color w:val="auto"/>
        </w:rPr>
      </w:pPr>
      <w:r>
        <w:rPr>
          <w:rFonts w:ascii="Times New Roman" w:cs="Times New Roman" w:eastAsia="Times New Roman" w:hAnsi="Times New Roman"/>
          <w:sz w:val="14"/>
          <w:szCs w:val="14"/>
          <w:color w:val="auto"/>
        </w:rPr>
        <w:t>Additional information about us is included in our filings with the SEC, which are incorporated by reference into this prospectus. See “Where You Can Find More Information” and “Information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8" w:name="page9"/>
    <w:bookmarkEnd w:id="8"/>
    <w:p>
      <w:pPr>
        <w:ind w:left="4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248920</wp:posOffset>
            </wp:positionV>
            <wp:extent cx="4206875" cy="6078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4206875" cy="6078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 of the Exchange Offer</w:t>
      </w:r>
    </w:p>
    <w:p>
      <w:pPr>
        <w:spacing w:after="0" w:line="121" w:lineRule="exact"/>
        <w:rPr>
          <w:sz w:val="20"/>
          <w:szCs w:val="20"/>
          <w:color w:val="auto"/>
        </w:rPr>
      </w:pPr>
    </w:p>
    <w:p>
      <w:pPr>
        <w:ind w:left="1380" w:right="1539" w:firstLine="275"/>
        <w:spacing w:after="0" w:line="254" w:lineRule="auto"/>
        <w:rPr>
          <w:sz w:val="20"/>
          <w:szCs w:val="20"/>
          <w:color w:val="auto"/>
        </w:rPr>
      </w:pPr>
      <w:r>
        <w:rPr>
          <w:rFonts w:ascii="Times New Roman" w:cs="Times New Roman" w:eastAsia="Times New Roman" w:hAnsi="Times New Roman"/>
          <w:sz w:val="14"/>
          <w:szCs w:val="14"/>
          <w:color w:val="auto"/>
        </w:rPr>
        <w:t>The following provides a summary of certain terms of the exchange offer. Please refer to the section “The Exchange Offer” appearing elsewhere in this prospectus for a more complete description of the exchange offer and the section “Description of the Notes” for a more complete description of the terms of the Old Notes and New Notes.</w:t>
      </w:r>
    </w:p>
    <w:p>
      <w:pPr>
        <w:spacing w:after="0" w:line="60" w:lineRule="exact"/>
        <w:rPr>
          <w:sz w:val="20"/>
          <w:szCs w:val="20"/>
          <w:color w:val="auto"/>
        </w:rPr>
      </w:pPr>
    </w:p>
    <w:p>
      <w:pPr>
        <w:ind w:left="1380"/>
        <w:spacing w:after="0"/>
        <w:tabs>
          <w:tab w:leader="none" w:pos="3840" w:val="left"/>
        </w:tabs>
        <w:rPr>
          <w:sz w:val="20"/>
          <w:szCs w:val="20"/>
          <w:color w:val="auto"/>
        </w:rPr>
      </w:pPr>
      <w:r>
        <w:rPr>
          <w:rFonts w:ascii="Times New Roman" w:cs="Times New Roman" w:eastAsia="Times New Roman" w:hAnsi="Times New Roman"/>
          <w:sz w:val="14"/>
          <w:szCs w:val="14"/>
          <w:color w:val="auto"/>
        </w:rPr>
        <w:t>Old Notes</w:t>
      </w:r>
      <w:r>
        <w:rPr>
          <w:sz w:val="20"/>
          <w:szCs w:val="20"/>
          <w:color w:val="auto"/>
        </w:rPr>
        <w:tab/>
      </w:r>
      <w:r>
        <w:rPr>
          <w:rFonts w:ascii="Times New Roman" w:cs="Times New Roman" w:eastAsia="Times New Roman" w:hAnsi="Times New Roman"/>
          <w:sz w:val="14"/>
          <w:szCs w:val="14"/>
          <w:color w:val="auto"/>
        </w:rPr>
        <w:t>$85,000,000 in aggregate principal amount of 5.75% Fixed-to-</w:t>
      </w:r>
    </w:p>
    <w:p>
      <w:pPr>
        <w:spacing w:after="0" w:line="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Floating Rate Subordinated Notes due 2036.</w:t>
      </w:r>
    </w:p>
    <w:p>
      <w:pPr>
        <w:spacing w:after="0" w:line="73" w:lineRule="exact"/>
        <w:rPr>
          <w:sz w:val="20"/>
          <w:szCs w:val="20"/>
          <w:color w:val="auto"/>
        </w:rPr>
      </w:pPr>
    </w:p>
    <w:p>
      <w:pPr>
        <w:ind w:left="1380"/>
        <w:spacing w:after="0"/>
        <w:tabs>
          <w:tab w:leader="none" w:pos="3840" w:val="left"/>
        </w:tabs>
        <w:rPr>
          <w:sz w:val="20"/>
          <w:szCs w:val="20"/>
          <w:color w:val="auto"/>
        </w:rPr>
      </w:pPr>
      <w:r>
        <w:rPr>
          <w:rFonts w:ascii="Times New Roman" w:cs="Times New Roman" w:eastAsia="Times New Roman" w:hAnsi="Times New Roman"/>
          <w:sz w:val="14"/>
          <w:szCs w:val="14"/>
          <w:color w:val="auto"/>
        </w:rPr>
        <w:t>New Notes</w:t>
      </w:r>
      <w:r>
        <w:rPr>
          <w:sz w:val="20"/>
          <w:szCs w:val="20"/>
          <w:color w:val="auto"/>
        </w:rPr>
        <w:tab/>
      </w:r>
      <w:r>
        <w:rPr>
          <w:rFonts w:ascii="Times New Roman" w:cs="Times New Roman" w:eastAsia="Times New Roman" w:hAnsi="Times New Roman"/>
          <w:sz w:val="14"/>
          <w:szCs w:val="14"/>
          <w:color w:val="auto"/>
        </w:rPr>
        <w:t>Up to $85,000,000 in aggregate principal amount of 5.75%</w:t>
      </w:r>
    </w:p>
    <w:p>
      <w:pPr>
        <w:spacing w:after="0" w:line="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Fixed-to-Floating Rate Subordinated Notes due 2036, which have</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terms that are identical in all material respects to the terms of the</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Old Notes, except that the New Notes are registered under the</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Securities Act and are generally not subject to transfer</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restrictions, are not entitled to registration rights under the</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registration rights agreement and do not have the right to</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additional interest under the circumstances described in the</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registration rights agreement relating to our fulfillment of our</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registration obligations.</w:t>
      </w:r>
    </w:p>
    <w:p>
      <w:pPr>
        <w:spacing w:after="0" w:line="73" w:lineRule="exact"/>
        <w:rPr>
          <w:sz w:val="20"/>
          <w:szCs w:val="20"/>
          <w:color w:val="auto"/>
        </w:rPr>
      </w:pPr>
    </w:p>
    <w:p>
      <w:pPr>
        <w:ind w:left="1380"/>
        <w:spacing w:after="0"/>
        <w:tabs>
          <w:tab w:leader="none" w:pos="3840" w:val="left"/>
        </w:tabs>
        <w:rPr>
          <w:sz w:val="20"/>
          <w:szCs w:val="20"/>
          <w:color w:val="auto"/>
        </w:rPr>
      </w:pPr>
      <w:r>
        <w:rPr>
          <w:rFonts w:ascii="Times New Roman" w:cs="Times New Roman" w:eastAsia="Times New Roman" w:hAnsi="Times New Roman"/>
          <w:sz w:val="14"/>
          <w:szCs w:val="14"/>
          <w:color w:val="auto"/>
        </w:rPr>
        <w:t>Exchange Offer</w:t>
      </w:r>
      <w:r>
        <w:rPr>
          <w:sz w:val="20"/>
          <w:szCs w:val="20"/>
          <w:color w:val="auto"/>
        </w:rPr>
        <w:tab/>
      </w:r>
      <w:r>
        <w:rPr>
          <w:rFonts w:ascii="Times New Roman" w:cs="Times New Roman" w:eastAsia="Times New Roman" w:hAnsi="Times New Roman"/>
          <w:sz w:val="14"/>
          <w:szCs w:val="14"/>
          <w:color w:val="auto"/>
        </w:rPr>
        <w:t>We are offering to exchange the New Notes for a like principal</w:t>
      </w:r>
    </w:p>
    <w:p>
      <w:pPr>
        <w:spacing w:after="0" w:line="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amount of Old Notes. Subject to the terms of the exchange offer,</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promptly following the termination of the exchange offer, we</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will exchange New Notes for all Old Notes that have been</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validly tendered and not validly withdrawn prior to the expiration</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of the exchange offer.</w:t>
      </w:r>
    </w:p>
    <w:p>
      <w:pPr>
        <w:spacing w:after="0" w:line="73" w:lineRule="exact"/>
        <w:rPr>
          <w:sz w:val="20"/>
          <w:szCs w:val="20"/>
          <w:color w:val="auto"/>
        </w:rPr>
      </w:pPr>
    </w:p>
    <w:p>
      <w:pPr>
        <w:ind w:left="1380"/>
        <w:spacing w:after="0"/>
        <w:tabs>
          <w:tab w:leader="none" w:pos="3840" w:val="left"/>
        </w:tabs>
        <w:rPr>
          <w:sz w:val="20"/>
          <w:szCs w:val="20"/>
          <w:color w:val="auto"/>
        </w:rPr>
      </w:pPr>
      <w:r>
        <w:rPr>
          <w:rFonts w:ascii="Times New Roman" w:cs="Times New Roman" w:eastAsia="Times New Roman" w:hAnsi="Times New Roman"/>
          <w:sz w:val="14"/>
          <w:szCs w:val="14"/>
          <w:color w:val="auto"/>
        </w:rPr>
        <w:t>Expiration Date</w:t>
      </w:r>
      <w:r>
        <w:rPr>
          <w:sz w:val="20"/>
          <w:szCs w:val="20"/>
          <w:color w:val="auto"/>
        </w:rPr>
        <w:tab/>
      </w:r>
      <w:r>
        <w:rPr>
          <w:rFonts w:ascii="Times New Roman" w:cs="Times New Roman" w:eastAsia="Times New Roman" w:hAnsi="Times New Roman"/>
          <w:sz w:val="14"/>
          <w:szCs w:val="14"/>
          <w:color w:val="auto"/>
        </w:rPr>
        <w:t>The exchange offer will expire at 11:59 p.m., New York City</w:t>
      </w:r>
    </w:p>
    <w:p>
      <w:pPr>
        <w:spacing w:after="0" w:line="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time, on                   , 2026, unless extended.</w:t>
      </w:r>
    </w:p>
    <w:p>
      <w:pPr>
        <w:spacing w:after="0" w:line="73" w:lineRule="exact"/>
        <w:rPr>
          <w:sz w:val="20"/>
          <w:szCs w:val="20"/>
          <w:color w:val="auto"/>
        </w:rPr>
      </w:pPr>
    </w:p>
    <w:p>
      <w:pPr>
        <w:ind w:left="1380"/>
        <w:spacing w:after="0"/>
        <w:tabs>
          <w:tab w:leader="none" w:pos="3840" w:val="left"/>
        </w:tabs>
        <w:rPr>
          <w:sz w:val="20"/>
          <w:szCs w:val="20"/>
          <w:color w:val="auto"/>
        </w:rPr>
      </w:pPr>
      <w:r>
        <w:rPr>
          <w:rFonts w:ascii="Times New Roman" w:cs="Times New Roman" w:eastAsia="Times New Roman" w:hAnsi="Times New Roman"/>
          <w:sz w:val="14"/>
          <w:szCs w:val="14"/>
          <w:color w:val="auto"/>
        </w:rPr>
        <w:t>Withdrawal Rights</w:t>
      </w:r>
      <w:r>
        <w:rPr>
          <w:sz w:val="20"/>
          <w:szCs w:val="20"/>
          <w:color w:val="auto"/>
        </w:rPr>
        <w:tab/>
      </w:r>
      <w:r>
        <w:rPr>
          <w:rFonts w:ascii="Times New Roman" w:cs="Times New Roman" w:eastAsia="Times New Roman" w:hAnsi="Times New Roman"/>
          <w:sz w:val="14"/>
          <w:szCs w:val="14"/>
          <w:color w:val="auto"/>
        </w:rPr>
        <w:t>You may withdraw the tender of your Old Notes at any time prior</w:t>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to the expiration date.</w:t>
      </w:r>
    </w:p>
    <w:p>
      <w:pPr>
        <w:spacing w:after="0" w:line="73" w:lineRule="exact"/>
        <w:rPr>
          <w:sz w:val="20"/>
          <w:szCs w:val="20"/>
          <w:color w:val="auto"/>
        </w:rPr>
      </w:pPr>
    </w:p>
    <w:p>
      <w:pPr>
        <w:ind w:left="1380"/>
        <w:spacing w:after="0"/>
        <w:tabs>
          <w:tab w:leader="none" w:pos="3840" w:val="left"/>
        </w:tabs>
        <w:rPr>
          <w:sz w:val="20"/>
          <w:szCs w:val="20"/>
          <w:color w:val="auto"/>
        </w:rPr>
      </w:pPr>
      <w:r>
        <w:rPr>
          <w:rFonts w:ascii="Times New Roman" w:cs="Times New Roman" w:eastAsia="Times New Roman" w:hAnsi="Times New Roman"/>
          <w:sz w:val="14"/>
          <w:szCs w:val="14"/>
          <w:color w:val="auto"/>
        </w:rPr>
        <w:t>Conditions to Exchange Offer</w:t>
      </w:r>
      <w:r>
        <w:rPr>
          <w:sz w:val="20"/>
          <w:szCs w:val="20"/>
          <w:color w:val="auto"/>
        </w:rPr>
        <w:tab/>
      </w:r>
      <w:r>
        <w:rPr>
          <w:rFonts w:ascii="Times New Roman" w:cs="Times New Roman" w:eastAsia="Times New Roman" w:hAnsi="Times New Roman"/>
          <w:sz w:val="14"/>
          <w:szCs w:val="14"/>
          <w:color w:val="auto"/>
        </w:rPr>
        <w:t>This exchange offer is subject to customary conditions, which we</w:t>
      </w:r>
    </w:p>
    <w:p>
      <w:pPr>
        <w:spacing w:after="0" w:line="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may waive. See “The Exchange Offer — Conditions.”</w:t>
      </w:r>
    </w:p>
    <w:p>
      <w:pPr>
        <w:sectPr>
          <w:pgSz w:w="11900" w:h="16838" w:orient="portrait"/>
          <w:cols w:equalWidth="0" w:num="1">
            <w:col w:w="9019"/>
          </w:cols>
          <w:pgMar w:left="1440" w:top="103" w:right="1440" w:bottom="1440" w:gutter="0" w:footer="0" w:header="0"/>
        </w:sectPr>
      </w:pPr>
    </w:p>
    <w:p>
      <w:pPr>
        <w:spacing w:after="0" w:line="7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Procedures for Tendering Old</w:t>
      </w:r>
    </w:p>
    <w:p>
      <w:pPr>
        <w:spacing w:after="0" w:line="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Notes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2" w:right="1399"/>
        <w:spacing w:after="0" w:line="247" w:lineRule="auto"/>
        <w:rPr>
          <w:sz w:val="20"/>
          <w:szCs w:val="20"/>
          <w:color w:val="auto"/>
        </w:rPr>
      </w:pPr>
      <w:r>
        <w:rPr>
          <w:rFonts w:ascii="Times New Roman" w:cs="Times New Roman" w:eastAsia="Times New Roman" w:hAnsi="Times New Roman"/>
          <w:sz w:val="14"/>
          <w:szCs w:val="14"/>
          <w:color w:val="auto"/>
        </w:rPr>
        <w:t>The Old Notes are represented by global book-entry notes, The Depository Trust Company (“DTC”), as depositary, or its nominee is treated as the registered holder of such Old Notes and will be the only entity that can tender such Old Notes for New Notes. In order to participate in the exchange offer, you must follow the procedures established by DTC for tendering such Old Notes held in book-entry form. These procedures, which we call “ATOP” ​(“Automated Tender Offer Program”) procedures, require that (i) the exchange agent receive, prior to the expiration date of the exchange offer, a computer generated message known as an “agent’s message” that is transmitted through ATOP, and</w:t>
      </w:r>
    </w:p>
    <w:p>
      <w:pPr>
        <w:spacing w:after="0" w:line="5" w:lineRule="exact"/>
        <w:rPr>
          <w:sz w:val="20"/>
          <w:szCs w:val="20"/>
          <w:color w:val="auto"/>
        </w:rPr>
      </w:pPr>
    </w:p>
    <w:p>
      <w:pPr>
        <w:ind w:left="2" w:right="1419" w:hanging="2"/>
        <w:spacing w:after="0" w:line="248" w:lineRule="auto"/>
        <w:tabs>
          <w:tab w:leader="none" w:pos="21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has received (a) your instructions to exchange your Old Notes, and (b) your agreement to be bound by the terms of the accompanying letter of transmittal.</w:t>
      </w:r>
    </w:p>
    <w:p>
      <w:pPr>
        <w:spacing w:after="0" w:line="85" w:lineRule="exact"/>
        <w:rPr>
          <w:sz w:val="20"/>
          <w:szCs w:val="20"/>
          <w:color w:val="auto"/>
        </w:rPr>
      </w:pPr>
    </w:p>
    <w:p>
      <w:pPr>
        <w:ind w:left="2" w:right="1599"/>
        <w:spacing w:after="0" w:line="254" w:lineRule="auto"/>
        <w:rPr>
          <w:sz w:val="20"/>
          <w:szCs w:val="20"/>
          <w:color w:val="auto"/>
        </w:rPr>
      </w:pPr>
      <w:r>
        <w:rPr>
          <w:rFonts w:ascii="Times New Roman" w:cs="Times New Roman" w:eastAsia="Times New Roman" w:hAnsi="Times New Roman"/>
          <w:sz w:val="14"/>
          <w:szCs w:val="14"/>
          <w:color w:val="auto"/>
        </w:rPr>
        <w:t>Please note that by agreeing to be bound by the letter of transmittal, you will be making a number of important representations to us. See “The Exchange Offer — Eligibility; Transferability.”</w:t>
      </w:r>
    </w:p>
    <w:p>
      <w:pPr>
        <w:spacing w:after="0" w:line="200" w:lineRule="exact"/>
        <w:rPr>
          <w:sz w:val="20"/>
          <w:szCs w:val="20"/>
          <w:color w:val="auto"/>
        </w:rPr>
      </w:pPr>
    </w:p>
    <w:p>
      <w:pPr>
        <w:sectPr>
          <w:pgSz w:w="11900" w:h="16838" w:orient="portrait"/>
          <w:cols w:equalWidth="0" w:num="2">
            <w:col w:w="3138" w:space="720"/>
            <w:col w:w="5161"/>
          </w:cols>
          <w:pgMar w:left="1440" w:top="103" w:right="1440"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215900</wp:posOffset>
            </wp:positionV>
            <wp:extent cx="52139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type w:val="continuous"/>
        </w:sectPr>
      </w:pPr>
    </w:p>
    <w:bookmarkStart w:id="9" w:name="page10"/>
    <w:bookmarkEnd w:id="9"/>
    <w:p>
      <w:pPr>
        <w:ind w:left="42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254000</wp:posOffset>
            </wp:positionV>
            <wp:extent cx="4206875" cy="6078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4206875" cy="60782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Material United States Federal</w:t>
      </w:r>
    </w:p>
    <w:p>
      <w:pPr>
        <w:spacing w:after="0" w:line="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Income Tax Considerations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4"/>
          <w:szCs w:val="14"/>
          <w:color w:val="auto"/>
        </w:rPr>
        <w:t>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Transferability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 w:right="1379"/>
        <w:spacing w:after="0" w:line="250" w:lineRule="auto"/>
        <w:rPr>
          <w:sz w:val="20"/>
          <w:szCs w:val="20"/>
          <w:color w:val="auto"/>
        </w:rPr>
      </w:pPr>
      <w:r>
        <w:rPr>
          <w:rFonts w:ascii="Times New Roman" w:cs="Times New Roman" w:eastAsia="Times New Roman" w:hAnsi="Times New Roman"/>
          <w:sz w:val="14"/>
          <w:szCs w:val="14"/>
          <w:color w:val="auto"/>
        </w:rPr>
        <w:t>The exchange of Old Notes for New Notes in the exchange offer generally should not constitute a taxable event for U.S. federal income tax purposes. See “Material United States Federal Income Tax Considerations.” You should consult your own tax advisor as to the tax consequences of exchanging your Old Notes for New Notes.</w:t>
      </w:r>
    </w:p>
    <w:p>
      <w:pPr>
        <w:spacing w:after="0" w:line="65" w:lineRule="exact"/>
        <w:rPr>
          <w:sz w:val="20"/>
          <w:szCs w:val="20"/>
          <w:color w:val="auto"/>
        </w:rPr>
      </w:pPr>
    </w:p>
    <w:p>
      <w:pPr>
        <w:ind w:left="2" w:right="1459"/>
        <w:spacing w:after="0" w:line="249" w:lineRule="auto"/>
        <w:rPr>
          <w:sz w:val="20"/>
          <w:szCs w:val="20"/>
          <w:color w:val="auto"/>
        </w:rPr>
      </w:pPr>
      <w:r>
        <w:rPr>
          <w:rFonts w:ascii="Times New Roman" w:cs="Times New Roman" w:eastAsia="Times New Roman" w:hAnsi="Times New Roman"/>
          <w:sz w:val="14"/>
          <w:szCs w:val="14"/>
          <w:color w:val="auto"/>
        </w:rPr>
        <w:t>Under the terms of the registration rights agreement that we entered into with the initial purchasers of the Old Notes at the time we issued the Old Notes, we agreed to register the New Notes and undertake this exchange offer. This exchange offer is intended to satisfy the rights of holders of Old Notes under that registration rights agreement. After the exchange offer is completed, we will have no further obligations, except under certain limited circumstances, to provide for any exchange or undertake any further registration with respect to the Old Notes.</w:t>
      </w:r>
    </w:p>
    <w:p>
      <w:pPr>
        <w:spacing w:after="0" w:line="63" w:lineRule="exact"/>
        <w:rPr>
          <w:sz w:val="20"/>
          <w:szCs w:val="20"/>
          <w:color w:val="auto"/>
        </w:rPr>
      </w:pPr>
    </w:p>
    <w:p>
      <w:pPr>
        <w:ind w:left="2" w:right="1379"/>
        <w:spacing w:after="0" w:line="250" w:lineRule="auto"/>
        <w:rPr>
          <w:sz w:val="20"/>
          <w:szCs w:val="20"/>
          <w:color w:val="auto"/>
        </w:rPr>
      </w:pPr>
      <w:r>
        <w:rPr>
          <w:rFonts w:ascii="Times New Roman" w:cs="Times New Roman" w:eastAsia="Times New Roman" w:hAnsi="Times New Roman"/>
          <w:sz w:val="14"/>
          <w:szCs w:val="14"/>
          <w:color w:val="auto"/>
        </w:rPr>
        <w:t>Based upon existing interpretations of the Securities Act by the staff of the SEC contained in several no-action letters issued to third parties, we believe that the New Notes may be offered for resale, resold or otherwise transferred by you without compliance with the registration and prospectus delivery requirements of the Securities Act, provided that:</w:t>
      </w:r>
    </w:p>
    <w:p>
      <w:pPr>
        <w:spacing w:after="0" w:line="96" w:lineRule="exact"/>
        <w:rPr>
          <w:sz w:val="20"/>
          <w:szCs w:val="20"/>
          <w:color w:val="auto"/>
        </w:rPr>
      </w:pPr>
    </w:p>
    <w:p>
      <w:pPr>
        <w:jc w:val="both"/>
        <w:ind w:left="282" w:right="1639" w:hanging="282"/>
        <w:spacing w:after="0" w:line="271" w:lineRule="auto"/>
        <w:tabs>
          <w:tab w:leader="none" w:pos="28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nor is any such person, our affiliate as such term is defined under Rule 405 under the Securities Act;</w:t>
      </w:r>
    </w:p>
    <w:p>
      <w:pPr>
        <w:spacing w:after="0" w:line="79" w:lineRule="exact"/>
        <w:rPr>
          <w:rFonts w:ascii="Times New Roman" w:cs="Times New Roman" w:eastAsia="Times New Roman" w:hAnsi="Times New Roman"/>
          <w:sz w:val="14"/>
          <w:szCs w:val="14"/>
          <w:color w:val="auto"/>
        </w:rPr>
      </w:pPr>
    </w:p>
    <w:p>
      <w:pPr>
        <w:ind w:left="282" w:right="1419" w:hanging="282"/>
        <w:spacing w:after="0" w:line="271" w:lineRule="auto"/>
        <w:tabs>
          <w:tab w:leader="none" w:pos="28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or the person receiving the New Notes is, acquiring the New Notes in the ordinary course of business;</w:t>
      </w:r>
    </w:p>
    <w:p>
      <w:pPr>
        <w:spacing w:after="0" w:line="79" w:lineRule="exact"/>
        <w:rPr>
          <w:rFonts w:ascii="Times New Roman" w:cs="Times New Roman" w:eastAsia="Times New Roman" w:hAnsi="Times New Roman"/>
          <w:sz w:val="14"/>
          <w:szCs w:val="14"/>
          <w:color w:val="auto"/>
        </w:rPr>
      </w:pPr>
    </w:p>
    <w:p>
      <w:pPr>
        <w:ind w:left="282" w:right="1379" w:hanging="282"/>
        <w:spacing w:after="0" w:line="254" w:lineRule="auto"/>
        <w:tabs>
          <w:tab w:leader="none" w:pos="28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nor does any such person, have an arrangement or understanding with any person to participate in any distribution (within the meaning of the Securities Act) of the New Notes;</w:t>
      </w:r>
    </w:p>
    <w:p>
      <w:pPr>
        <w:spacing w:after="0" w:line="91" w:lineRule="exact"/>
        <w:rPr>
          <w:rFonts w:ascii="Times New Roman" w:cs="Times New Roman" w:eastAsia="Times New Roman" w:hAnsi="Times New Roman"/>
          <w:sz w:val="14"/>
          <w:szCs w:val="14"/>
          <w:color w:val="auto"/>
        </w:rPr>
      </w:pPr>
    </w:p>
    <w:p>
      <w:pPr>
        <w:ind w:left="282" w:right="1419" w:hanging="282"/>
        <w:spacing w:after="0" w:line="252" w:lineRule="auto"/>
        <w:tabs>
          <w:tab w:leader="none" w:pos="28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or any such person is not, a broker-dealer registered under the Exchange Act, and you are not engaged in, or such person is not engaged in, and do not intend to engage in, any distribution (within the meaning of the Securities Act) of the New Notes; and</w:t>
      </w:r>
    </w:p>
    <w:p>
      <w:pPr>
        <w:spacing w:after="0" w:line="92" w:lineRule="exact"/>
        <w:rPr>
          <w:rFonts w:ascii="Times New Roman" w:cs="Times New Roman" w:eastAsia="Times New Roman" w:hAnsi="Times New Roman"/>
          <w:sz w:val="14"/>
          <w:szCs w:val="14"/>
          <w:color w:val="auto"/>
        </w:rPr>
      </w:pPr>
    </w:p>
    <w:p>
      <w:pPr>
        <w:ind w:left="282" w:right="1599" w:hanging="282"/>
        <w:spacing w:after="0" w:line="271" w:lineRule="auto"/>
        <w:tabs>
          <w:tab w:leader="none" w:pos="28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acting on behalf of any person who could not truthfully make these statements.</w:t>
      </w:r>
    </w:p>
    <w:p>
      <w:pPr>
        <w:spacing w:after="0" w:line="80" w:lineRule="exact"/>
        <w:rPr>
          <w:sz w:val="20"/>
          <w:szCs w:val="20"/>
          <w:color w:val="auto"/>
        </w:rPr>
      </w:pPr>
    </w:p>
    <w:p>
      <w:pPr>
        <w:ind w:left="2" w:right="1379"/>
        <w:spacing w:after="0" w:line="249" w:lineRule="auto"/>
        <w:rPr>
          <w:sz w:val="20"/>
          <w:szCs w:val="20"/>
          <w:color w:val="auto"/>
        </w:rPr>
      </w:pPr>
      <w:r>
        <w:rPr>
          <w:rFonts w:ascii="Times New Roman" w:cs="Times New Roman" w:eastAsia="Times New Roman" w:hAnsi="Times New Roman"/>
          <w:sz w:val="14"/>
          <w:szCs w:val="14"/>
          <w:color w:val="auto"/>
        </w:rPr>
        <w:t>Our belief that transfers of New Notes would be permitted without registration or prospectus delivery under the conditions described above is based on interpretations by the staff of the SEC given to other, unrelated issuers in similar exchange offers. The staff of the SEC has not considered this exchange offer in the context of a no-action letter, and we cannot assure you that the staff of the SEC would make a similar interpretation with respect to our exchange offer.</w:t>
      </w:r>
    </w:p>
    <w:p>
      <w:pPr>
        <w:spacing w:after="0" w:line="96" w:lineRule="exact"/>
        <w:rPr>
          <w:sz w:val="20"/>
          <w:szCs w:val="20"/>
          <w:color w:val="auto"/>
        </w:rPr>
      </w:pPr>
    </w:p>
    <w:p>
      <w:pPr>
        <w:ind w:left="2" w:right="1439"/>
        <w:spacing w:after="0" w:line="252" w:lineRule="auto"/>
        <w:rPr>
          <w:sz w:val="20"/>
          <w:szCs w:val="20"/>
          <w:color w:val="auto"/>
        </w:rPr>
      </w:pPr>
      <w:r>
        <w:rPr>
          <w:rFonts w:ascii="Times New Roman" w:cs="Times New Roman" w:eastAsia="Times New Roman" w:hAnsi="Times New Roman"/>
          <w:sz w:val="14"/>
          <w:szCs w:val="14"/>
          <w:color w:val="auto"/>
        </w:rPr>
        <w:t>If our belief is not accurate and you transfer a New Note without delivering a prospectus meeting the requirements of the Securities Act or without an exemption from such requirements, you may incur liability under the Securities Act. We do not and will not assume, or indemnify you against, such liability.</w:t>
      </w:r>
    </w:p>
    <w:p>
      <w:pPr>
        <w:spacing w:after="0" w:line="200" w:lineRule="exact"/>
        <w:rPr>
          <w:sz w:val="20"/>
          <w:szCs w:val="20"/>
          <w:color w:val="auto"/>
        </w:rPr>
      </w:pPr>
    </w:p>
    <w:p>
      <w:pPr>
        <w:sectPr>
          <w:pgSz w:w="11900" w:h="16838" w:orient="portrait"/>
          <w:cols w:equalWidth="0" w:num="2">
            <w:col w:w="3140" w:space="718"/>
            <w:col w:w="5161"/>
          </w:cols>
          <w:pgMar w:left="1440" w:top="108" w:right="1440" w:bottom="1440" w:gutter="0" w:footer="0" w:header="0"/>
          <w:type w:val="continuous"/>
        </w:sectPr>
      </w:pP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215900</wp:posOffset>
            </wp:positionV>
            <wp:extent cx="52139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10" w:name="page11"/>
    <w:bookmarkEnd w:id="10"/>
    <w:p>
      <w:pPr>
        <w:ind w:left="42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254000</wp:posOffset>
            </wp:positionV>
            <wp:extent cx="4206875" cy="60782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4206875" cy="60782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Consequences of Failing to</w:t>
      </w:r>
    </w:p>
    <w:p>
      <w:pPr>
        <w:spacing w:after="0" w:line="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Exchange Old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Use of Proceeds</w:t>
      </w:r>
    </w:p>
    <w:p>
      <w:pPr>
        <w:spacing w:after="0" w:line="2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Cancellation of Exchanged Old</w:t>
      </w:r>
    </w:p>
    <w:p>
      <w:pPr>
        <w:spacing w:after="0" w:line="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Notes</w:t>
      </w:r>
    </w:p>
    <w:p>
      <w:pPr>
        <w:spacing w:after="0" w:line="200" w:lineRule="exact"/>
        <w:rPr>
          <w:sz w:val="20"/>
          <w:szCs w:val="20"/>
          <w:color w:val="auto"/>
        </w:rPr>
      </w:pPr>
    </w:p>
    <w:p>
      <w:pPr>
        <w:spacing w:after="0" w:line="388"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4"/>
          <w:szCs w:val="14"/>
          <w:color w:val="auto"/>
        </w:rPr>
        <w:t>Exchange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79"/>
        <w:spacing w:after="0" w:line="250" w:lineRule="auto"/>
        <w:rPr>
          <w:sz w:val="20"/>
          <w:szCs w:val="20"/>
          <w:color w:val="auto"/>
        </w:rPr>
      </w:pPr>
      <w:r>
        <w:rPr>
          <w:rFonts w:ascii="Times New Roman" w:cs="Times New Roman" w:eastAsia="Times New Roman" w:hAnsi="Times New Roman"/>
          <w:sz w:val="14"/>
          <w:szCs w:val="14"/>
          <w:color w:val="auto"/>
        </w:rPr>
        <w:t>Each broker-dealer that receives New Notes for its own account under the exchange offer in exchange for Old Notes that were acquired by the broker-dealer as a result of market-making or other trading activity must acknowledge that it will deliver a prospectus meeting the requirements of the Securities Act in connection with any resale of the New Notes.</w:t>
      </w:r>
    </w:p>
    <w:p>
      <w:pPr>
        <w:spacing w:after="0" w:line="96" w:lineRule="exact"/>
        <w:rPr>
          <w:sz w:val="20"/>
          <w:szCs w:val="20"/>
          <w:color w:val="auto"/>
        </w:rPr>
      </w:pPr>
    </w:p>
    <w:p>
      <w:pPr>
        <w:ind w:right="1659"/>
        <w:spacing w:after="0" w:line="271" w:lineRule="auto"/>
        <w:rPr>
          <w:sz w:val="20"/>
          <w:szCs w:val="20"/>
          <w:color w:val="auto"/>
        </w:rPr>
      </w:pPr>
      <w:r>
        <w:rPr>
          <w:rFonts w:ascii="Times New Roman" w:cs="Times New Roman" w:eastAsia="Times New Roman" w:hAnsi="Times New Roman"/>
          <w:sz w:val="14"/>
          <w:szCs w:val="14"/>
          <w:color w:val="auto"/>
        </w:rPr>
        <w:t>See “The Exchange Offer — Eligibility; Transferability” and “Plan of Distribution.”</w:t>
      </w:r>
    </w:p>
    <w:p>
      <w:pPr>
        <w:spacing w:after="0" w:line="80" w:lineRule="exact"/>
        <w:rPr>
          <w:sz w:val="20"/>
          <w:szCs w:val="20"/>
          <w:color w:val="auto"/>
        </w:rPr>
      </w:pPr>
    </w:p>
    <w:p>
      <w:pPr>
        <w:ind w:right="1399"/>
        <w:spacing w:after="0" w:line="247" w:lineRule="auto"/>
        <w:rPr>
          <w:sz w:val="20"/>
          <w:szCs w:val="20"/>
          <w:color w:val="auto"/>
        </w:rPr>
      </w:pPr>
      <w:r>
        <w:rPr>
          <w:rFonts w:ascii="Times New Roman" w:cs="Times New Roman" w:eastAsia="Times New Roman" w:hAnsi="Times New Roman"/>
          <w:sz w:val="14"/>
          <w:szCs w:val="14"/>
          <w:color w:val="auto"/>
        </w:rPr>
        <w:t>Any Old Notes that are not exchanged in the exchange offer will continue to be governed by the indenture relating to the Old Notes and the terms of the Old Notes. Old Notes that are not exchanged will remain subject to the restrictions on transfer described in the Old Notes, and you will not be able to offer or sell the Old Notes except under an exemption from the requirements of the Securities Act or unless the Old Notes are registered under the Securities Act. Upon the completion of the exchange offer, we will have no further obligations, except under limited circumstances, to provide for registration of the Old Notes under the U.S. federal securities laws. If you do not participate in the exchange offer, the liquidity of your Old Notes could be adversely affected. See “The Exchange Offer — Consequences of Failure to Exchange.”</w:t>
      </w:r>
    </w:p>
    <w:p>
      <w:pPr>
        <w:spacing w:after="0" w:line="237" w:lineRule="exact"/>
        <w:rPr>
          <w:sz w:val="20"/>
          <w:szCs w:val="20"/>
          <w:color w:val="auto"/>
        </w:rPr>
      </w:pPr>
    </w:p>
    <w:p>
      <w:pPr>
        <w:ind w:right="1439"/>
        <w:spacing w:after="0" w:line="271" w:lineRule="auto"/>
        <w:rPr>
          <w:sz w:val="20"/>
          <w:szCs w:val="20"/>
          <w:color w:val="auto"/>
        </w:rPr>
      </w:pPr>
      <w:r>
        <w:rPr>
          <w:rFonts w:ascii="Times New Roman" w:cs="Times New Roman" w:eastAsia="Times New Roman" w:hAnsi="Times New Roman"/>
          <w:sz w:val="14"/>
          <w:szCs w:val="14"/>
          <w:color w:val="auto"/>
        </w:rPr>
        <w:t>We will not receive any cash proceeds from the exchange of Old Notes for New Notes as a result of the exchange offer.</w:t>
      </w:r>
    </w:p>
    <w:p>
      <w:pPr>
        <w:spacing w:after="0" w:line="69" w:lineRule="exact"/>
        <w:rPr>
          <w:sz w:val="20"/>
          <w:szCs w:val="20"/>
          <w:color w:val="auto"/>
        </w:rPr>
      </w:pPr>
    </w:p>
    <w:p>
      <w:pPr>
        <w:ind w:right="1479"/>
        <w:spacing w:after="0" w:line="252" w:lineRule="auto"/>
        <w:rPr>
          <w:sz w:val="20"/>
          <w:szCs w:val="20"/>
          <w:color w:val="auto"/>
        </w:rPr>
      </w:pPr>
      <w:r>
        <w:rPr>
          <w:rFonts w:ascii="Times New Roman" w:cs="Times New Roman" w:eastAsia="Times New Roman" w:hAnsi="Times New Roman"/>
          <w:sz w:val="14"/>
          <w:szCs w:val="14"/>
          <w:color w:val="auto"/>
        </w:rPr>
        <w:t>Old Notes that are surrendered in exchange for New Notes will be retired and cancelled by us upon receipt and will not be reissued. Accordingly, the issuance of the New Notes under this exchange offer will not result in any increase in our outstanding indebtedness.</w:t>
      </w:r>
    </w:p>
    <w:p>
      <w:pPr>
        <w:spacing w:after="0" w:line="62" w:lineRule="exact"/>
        <w:rPr>
          <w:sz w:val="20"/>
          <w:szCs w:val="20"/>
          <w:color w:val="auto"/>
        </w:rPr>
      </w:pPr>
    </w:p>
    <w:p>
      <w:pPr>
        <w:ind w:right="1559"/>
        <w:spacing w:after="0" w:line="258" w:lineRule="auto"/>
        <w:rPr>
          <w:sz w:val="20"/>
          <w:szCs w:val="20"/>
          <w:color w:val="auto"/>
        </w:rPr>
      </w:pPr>
      <w:r>
        <w:rPr>
          <w:rFonts w:ascii="Times New Roman" w:cs="Times New Roman" w:eastAsia="Times New Roman" w:hAnsi="Times New Roman"/>
          <w:sz w:val="14"/>
          <w:szCs w:val="14"/>
          <w:color w:val="auto"/>
        </w:rPr>
        <w:t>UMB Bank, N.A. is serving as the exchange agent for this exchange offer. See “The Exchange Offer — Exchange Agent” for the address and telephone number of the exchange agent.</w:t>
      </w:r>
    </w:p>
    <w:p>
      <w:pPr>
        <w:spacing w:after="0" w:line="200" w:lineRule="exact"/>
        <w:rPr>
          <w:sz w:val="20"/>
          <w:szCs w:val="20"/>
          <w:color w:val="auto"/>
        </w:rPr>
      </w:pPr>
    </w:p>
    <w:p>
      <w:pPr>
        <w:sectPr>
          <w:pgSz w:w="11900" w:h="16838" w:orient="portrait"/>
          <w:cols w:equalWidth="0" w:num="2">
            <w:col w:w="3180" w:space="680"/>
            <w:col w:w="5159"/>
          </w:cols>
          <w:pgMar w:left="1440" w:top="10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209550</wp:posOffset>
            </wp:positionV>
            <wp:extent cx="52139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11" w:name="page12"/>
    <w:bookmarkEnd w:id="11"/>
    <w:p>
      <w:pPr>
        <w:ind w:left="4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248920</wp:posOffset>
            </wp:positionV>
            <wp:extent cx="4206875" cy="6111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4206875" cy="611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 of the New Notes</w:t>
      </w:r>
    </w:p>
    <w:p>
      <w:pPr>
        <w:spacing w:after="0" w:line="121" w:lineRule="exact"/>
        <w:rPr>
          <w:sz w:val="20"/>
          <w:szCs w:val="20"/>
          <w:color w:val="auto"/>
        </w:rPr>
      </w:pPr>
    </w:p>
    <w:p>
      <w:pPr>
        <w:ind w:left="1380" w:right="1419" w:firstLine="275"/>
        <w:spacing w:after="0" w:line="249" w:lineRule="auto"/>
        <w:rPr>
          <w:sz w:val="20"/>
          <w:szCs w:val="20"/>
          <w:color w:val="auto"/>
        </w:rPr>
      </w:pPr>
      <w:r>
        <w:rPr>
          <w:rFonts w:ascii="Times New Roman" w:cs="Times New Roman" w:eastAsia="Times New Roman" w:hAnsi="Times New Roman"/>
          <w:sz w:val="14"/>
          <w:szCs w:val="14"/>
          <w:color w:val="auto"/>
        </w:rPr>
        <w:t>The following provides a summary of certain terms of the New Notes. The New Notes have terms that are identical in all material respects to the terms of the Old Notes, except that the New Notes are registered under the Securities Act and are generally not subject to transfer restrictions, are not entitled to registration rights under the registration rights agreement and do not have the right to additional interest under the circumstances described in the registration rights agreement relating to our fulfillment of our registration obligations. The New Notes will evidence the same debt as the Old Notes and will be governed by the same indenture under which the Old Notes were issued. Please refer to the section “Description of the Notes” for a more complete description of the terms of the New Notes. References in this prospectus to the “notes” include both the Old Notes and the New Notes unless otherwise specified or the context otherwise requires.</w:t>
      </w:r>
    </w:p>
    <w:p>
      <w:pPr>
        <w:spacing w:after="0" w:line="63" w:lineRule="exact"/>
        <w:rPr>
          <w:sz w:val="20"/>
          <w:szCs w:val="20"/>
          <w:color w:val="auto"/>
        </w:rPr>
      </w:pPr>
    </w:p>
    <w:tbl>
      <w:tblPr>
        <w:tblLayout w:type="fixed"/>
        <w:tblInd w:w="420" w:type="dxa"/>
        <w:tblCellMar>
          <w:top w:w="0" w:type="dxa"/>
          <w:left w:w="0" w:type="dxa"/>
          <w:bottom w:w="0" w:type="dxa"/>
          <w:right w:w="0" w:type="dxa"/>
        </w:tblCellMar>
      </w:tblPr>
      <w:tr>
        <w:trPr>
          <w:trHeight w:val="178"/>
        </w:trPr>
        <w:tc>
          <w:tcPr>
            <w:tcW w:w="780" w:type="dxa"/>
            <w:vAlign w:val="bottom"/>
          </w:tcPr>
          <w:p>
            <w:pPr>
              <w:spacing w:after="0"/>
              <w:rPr>
                <w:sz w:val="15"/>
                <w:szCs w:val="15"/>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Issuer</w:t>
            </w: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HBT Financial, Inc.</w:t>
            </w:r>
          </w:p>
        </w:tc>
        <w:tc>
          <w:tcPr>
            <w:tcW w:w="740" w:type="dxa"/>
            <w:vAlign w:val="bottom"/>
          </w:tcPr>
          <w:p>
            <w:pPr>
              <w:spacing w:after="0"/>
              <w:rPr>
                <w:sz w:val="15"/>
                <w:szCs w:val="15"/>
                <w:color w:val="auto"/>
              </w:rPr>
            </w:pPr>
          </w:p>
        </w:tc>
      </w:tr>
      <w:tr>
        <w:trPr>
          <w:trHeight w:val="247"/>
        </w:trPr>
        <w:tc>
          <w:tcPr>
            <w:tcW w:w="780" w:type="dxa"/>
            <w:vAlign w:val="bottom"/>
          </w:tcPr>
          <w:p>
            <w:pPr>
              <w:spacing w:after="0"/>
              <w:rPr>
                <w:sz w:val="21"/>
                <w:szCs w:val="21"/>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 Offered</w:t>
            </w: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5.75% Fixed-to-Floating Rate Subordinated Notes due 2036.</w:t>
            </w:r>
          </w:p>
        </w:tc>
        <w:tc>
          <w:tcPr>
            <w:tcW w:w="740" w:type="dxa"/>
            <w:vAlign w:val="bottom"/>
          </w:tcPr>
          <w:p>
            <w:pPr>
              <w:spacing w:after="0"/>
              <w:rPr>
                <w:sz w:val="21"/>
                <w:szCs w:val="21"/>
                <w:color w:val="auto"/>
              </w:rPr>
            </w:pPr>
          </w:p>
        </w:tc>
      </w:tr>
      <w:tr>
        <w:trPr>
          <w:trHeight w:val="247"/>
        </w:trPr>
        <w:tc>
          <w:tcPr>
            <w:tcW w:w="780" w:type="dxa"/>
            <w:vAlign w:val="bottom"/>
          </w:tcPr>
          <w:p>
            <w:pPr>
              <w:spacing w:after="0"/>
              <w:rPr>
                <w:sz w:val="21"/>
                <w:szCs w:val="21"/>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Aggregate Principal Amount</w:t>
            </w: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Up to $85,000,000.</w:t>
            </w:r>
          </w:p>
        </w:tc>
        <w:tc>
          <w:tcPr>
            <w:tcW w:w="740" w:type="dxa"/>
            <w:vAlign w:val="bottom"/>
          </w:tcPr>
          <w:p>
            <w:pPr>
              <w:spacing w:after="0"/>
              <w:rPr>
                <w:sz w:val="21"/>
                <w:szCs w:val="21"/>
                <w:color w:val="auto"/>
              </w:rPr>
            </w:pPr>
          </w:p>
        </w:tc>
      </w:tr>
      <w:tr>
        <w:trPr>
          <w:trHeight w:val="247"/>
        </w:trPr>
        <w:tc>
          <w:tcPr>
            <w:tcW w:w="780" w:type="dxa"/>
            <w:vAlign w:val="bottom"/>
          </w:tcPr>
          <w:p>
            <w:pPr>
              <w:spacing w:after="0"/>
              <w:rPr>
                <w:sz w:val="21"/>
                <w:szCs w:val="21"/>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Maturity Date</w:t>
            </w: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March 15, 2036, unless previously redeemed.</w:t>
            </w:r>
          </w:p>
        </w:tc>
        <w:tc>
          <w:tcPr>
            <w:tcW w:w="740" w:type="dxa"/>
            <w:vAlign w:val="bottom"/>
          </w:tcPr>
          <w:p>
            <w:pPr>
              <w:spacing w:after="0"/>
              <w:rPr>
                <w:sz w:val="21"/>
                <w:szCs w:val="21"/>
                <w:color w:val="auto"/>
              </w:rPr>
            </w:pPr>
          </w:p>
        </w:tc>
      </w:tr>
      <w:tr>
        <w:trPr>
          <w:trHeight w:val="234"/>
        </w:trPr>
        <w:tc>
          <w:tcPr>
            <w:tcW w:w="780" w:type="dxa"/>
            <w:vAlign w:val="bottom"/>
          </w:tcPr>
          <w:p>
            <w:pPr>
              <w:spacing w:after="0"/>
              <w:rPr>
                <w:sz w:val="20"/>
                <w:szCs w:val="20"/>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Form and Denomination</w:t>
            </w: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New Notes will be issued only in registered form without</w:t>
            </w:r>
          </w:p>
        </w:tc>
        <w:tc>
          <w:tcPr>
            <w:tcW w:w="740" w:type="dxa"/>
            <w:vAlign w:val="bottom"/>
          </w:tcPr>
          <w:p>
            <w:pPr>
              <w:spacing w:after="0"/>
              <w:rPr>
                <w:sz w:val="20"/>
                <w:szCs w:val="20"/>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coupons, and in minimum denominations of $100,000 and any</w:t>
            </w:r>
          </w:p>
        </w:tc>
        <w:tc>
          <w:tcPr>
            <w:tcW w:w="740" w:type="dxa"/>
            <w:vAlign w:val="bottom"/>
          </w:tcPr>
          <w:p>
            <w:pPr>
              <w:spacing w:after="0"/>
              <w:rPr>
                <w:sz w:val="14"/>
                <w:szCs w:val="14"/>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integral multiple of $1,000 in excess thereof. The New Notes will</w:t>
            </w:r>
          </w:p>
        </w:tc>
        <w:tc>
          <w:tcPr>
            <w:tcW w:w="740" w:type="dxa"/>
            <w:vAlign w:val="bottom"/>
          </w:tcPr>
          <w:p>
            <w:pPr>
              <w:spacing w:after="0"/>
              <w:rPr>
                <w:sz w:val="14"/>
                <w:szCs w:val="14"/>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 evidenced by a global note deposited with the trustee for the</w:t>
            </w:r>
          </w:p>
        </w:tc>
        <w:tc>
          <w:tcPr>
            <w:tcW w:w="740" w:type="dxa"/>
            <w:vAlign w:val="bottom"/>
          </w:tcPr>
          <w:p>
            <w:pPr>
              <w:spacing w:after="0"/>
              <w:rPr>
                <w:sz w:val="14"/>
                <w:szCs w:val="14"/>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New Notes, as custodian for DTC, and transfers of beneficial</w:t>
            </w:r>
          </w:p>
        </w:tc>
        <w:tc>
          <w:tcPr>
            <w:tcW w:w="740" w:type="dxa"/>
            <w:vAlign w:val="bottom"/>
          </w:tcPr>
          <w:p>
            <w:pPr>
              <w:spacing w:after="0"/>
              <w:rPr>
                <w:sz w:val="14"/>
                <w:szCs w:val="14"/>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interests will be facilitated only through records maintained by</w:t>
            </w:r>
          </w:p>
        </w:tc>
        <w:tc>
          <w:tcPr>
            <w:tcW w:w="740" w:type="dxa"/>
            <w:vAlign w:val="bottom"/>
          </w:tcPr>
          <w:p>
            <w:pPr>
              <w:spacing w:after="0"/>
              <w:rPr>
                <w:sz w:val="14"/>
                <w:szCs w:val="14"/>
                <w:color w:val="auto"/>
              </w:rPr>
            </w:pPr>
          </w:p>
        </w:tc>
      </w:tr>
      <w:tr>
        <w:trPr>
          <w:trHeight w:val="178"/>
        </w:trPr>
        <w:tc>
          <w:tcPr>
            <w:tcW w:w="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DTC and its participants.</w:t>
            </w:r>
          </w:p>
        </w:tc>
        <w:tc>
          <w:tcPr>
            <w:tcW w:w="740" w:type="dxa"/>
            <w:vAlign w:val="bottom"/>
          </w:tcPr>
          <w:p>
            <w:pPr>
              <w:spacing w:after="0"/>
              <w:rPr>
                <w:sz w:val="15"/>
                <w:szCs w:val="15"/>
                <w:color w:val="auto"/>
              </w:rPr>
            </w:pPr>
          </w:p>
        </w:tc>
      </w:tr>
      <w:tr>
        <w:trPr>
          <w:trHeight w:val="234"/>
        </w:trPr>
        <w:tc>
          <w:tcPr>
            <w:tcW w:w="780" w:type="dxa"/>
            <w:vAlign w:val="bottom"/>
          </w:tcPr>
          <w:p>
            <w:pPr>
              <w:spacing w:after="0"/>
              <w:rPr>
                <w:sz w:val="20"/>
                <w:szCs w:val="20"/>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and Interest Rate</w:t>
            </w: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From and including March 11, 2026 to but excluding March 15,</w:t>
            </w:r>
          </w:p>
        </w:tc>
        <w:tc>
          <w:tcPr>
            <w:tcW w:w="740" w:type="dxa"/>
            <w:vAlign w:val="bottom"/>
          </w:tcPr>
          <w:p>
            <w:pPr>
              <w:spacing w:after="0"/>
              <w:rPr>
                <w:sz w:val="20"/>
                <w:szCs w:val="20"/>
                <w:color w:val="auto"/>
              </w:rPr>
            </w:pPr>
          </w:p>
        </w:tc>
      </w:tr>
      <w:tr>
        <w:trPr>
          <w:trHeight w:val="165"/>
        </w:trPr>
        <w:tc>
          <w:tcPr>
            <w:tcW w:w="780" w:type="dxa"/>
            <w:vAlign w:val="bottom"/>
          </w:tcPr>
          <w:p>
            <w:pPr>
              <w:spacing w:after="0"/>
              <w:rPr>
                <w:sz w:val="14"/>
                <w:szCs w:val="14"/>
                <w:color w:val="auto"/>
              </w:rPr>
            </w:pPr>
          </w:p>
        </w:tc>
        <w:tc>
          <w:tcPr>
            <w:tcW w:w="2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Payment Dates During Fixed Rate</w:t>
            </w: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2031 or earlier redemption date, computed on the basis of a 360-</w:t>
            </w:r>
          </w:p>
        </w:tc>
        <w:tc>
          <w:tcPr>
            <w:tcW w:w="740" w:type="dxa"/>
            <w:vAlign w:val="bottom"/>
          </w:tcPr>
          <w:p>
            <w:pPr>
              <w:spacing w:after="0"/>
              <w:rPr>
                <w:sz w:val="14"/>
                <w:szCs w:val="14"/>
                <w:color w:val="auto"/>
              </w:rPr>
            </w:pPr>
          </w:p>
        </w:tc>
      </w:tr>
      <w:tr>
        <w:trPr>
          <w:trHeight w:val="165"/>
        </w:trPr>
        <w:tc>
          <w:tcPr>
            <w:tcW w:w="780" w:type="dxa"/>
            <w:vAlign w:val="bottom"/>
          </w:tcPr>
          <w:p>
            <w:pPr>
              <w:spacing w:after="0"/>
              <w:rPr>
                <w:sz w:val="14"/>
                <w:szCs w:val="14"/>
                <w:color w:val="auto"/>
              </w:rPr>
            </w:pPr>
          </w:p>
        </w:tc>
        <w:tc>
          <w:tcPr>
            <w:tcW w:w="2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Period</w:t>
            </w: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day year consisting of twelve 30-day months and payable semi-</w:t>
            </w:r>
          </w:p>
        </w:tc>
        <w:tc>
          <w:tcPr>
            <w:tcW w:w="740" w:type="dxa"/>
            <w:vAlign w:val="bottom"/>
          </w:tcPr>
          <w:p>
            <w:pPr>
              <w:spacing w:after="0"/>
              <w:rPr>
                <w:sz w:val="14"/>
                <w:szCs w:val="14"/>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annually in arrears on March 15 and September 15 of each year,</w:t>
            </w:r>
          </w:p>
        </w:tc>
        <w:tc>
          <w:tcPr>
            <w:tcW w:w="740" w:type="dxa"/>
            <w:vAlign w:val="bottom"/>
          </w:tcPr>
          <w:p>
            <w:pPr>
              <w:spacing w:after="0"/>
              <w:rPr>
                <w:sz w:val="14"/>
                <w:szCs w:val="14"/>
                <w:color w:val="auto"/>
              </w:rPr>
            </w:pPr>
          </w:p>
        </w:tc>
      </w:tr>
      <w:tr>
        <w:trPr>
          <w:trHeight w:val="178"/>
        </w:trPr>
        <w:tc>
          <w:tcPr>
            <w:tcW w:w="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beginning on September 15, 2026.</w:t>
            </w:r>
          </w:p>
        </w:tc>
        <w:tc>
          <w:tcPr>
            <w:tcW w:w="740" w:type="dxa"/>
            <w:vAlign w:val="bottom"/>
          </w:tcPr>
          <w:p>
            <w:pPr>
              <w:spacing w:after="0"/>
              <w:rPr>
                <w:sz w:val="15"/>
                <w:szCs w:val="15"/>
                <w:color w:val="auto"/>
              </w:rPr>
            </w:pPr>
          </w:p>
        </w:tc>
      </w:tr>
      <w:tr>
        <w:trPr>
          <w:trHeight w:val="234"/>
        </w:trPr>
        <w:tc>
          <w:tcPr>
            <w:tcW w:w="780" w:type="dxa"/>
            <w:vAlign w:val="bottom"/>
          </w:tcPr>
          <w:p>
            <w:pPr>
              <w:spacing w:after="0"/>
              <w:rPr>
                <w:sz w:val="20"/>
                <w:szCs w:val="20"/>
                <w:color w:val="auto"/>
              </w:rPr>
            </w:pPr>
          </w:p>
        </w:tc>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and Interest Rate</w:t>
            </w: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From and including March 15, 2031, to but excluding the</w:t>
            </w:r>
          </w:p>
        </w:tc>
        <w:tc>
          <w:tcPr>
            <w:tcW w:w="740" w:type="dxa"/>
            <w:vAlign w:val="bottom"/>
          </w:tcPr>
          <w:p>
            <w:pPr>
              <w:spacing w:after="0"/>
              <w:rPr>
                <w:sz w:val="20"/>
                <w:szCs w:val="20"/>
                <w:color w:val="auto"/>
              </w:rPr>
            </w:pPr>
          </w:p>
        </w:tc>
      </w:tr>
      <w:tr>
        <w:trPr>
          <w:trHeight w:val="165"/>
        </w:trPr>
        <w:tc>
          <w:tcPr>
            <w:tcW w:w="780" w:type="dxa"/>
            <w:vAlign w:val="bottom"/>
          </w:tcPr>
          <w:p>
            <w:pPr>
              <w:spacing w:after="0"/>
              <w:rPr>
                <w:sz w:val="14"/>
                <w:szCs w:val="14"/>
                <w:color w:val="auto"/>
              </w:rPr>
            </w:pPr>
          </w:p>
        </w:tc>
        <w:tc>
          <w:tcPr>
            <w:tcW w:w="2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Payment Dates During Floating</w:t>
            </w: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maturity date or earlier redemption date (the “Floating Interest</w:t>
            </w:r>
          </w:p>
        </w:tc>
        <w:tc>
          <w:tcPr>
            <w:tcW w:w="740" w:type="dxa"/>
            <w:vAlign w:val="bottom"/>
          </w:tcPr>
          <w:p>
            <w:pPr>
              <w:spacing w:after="0"/>
              <w:rPr>
                <w:sz w:val="14"/>
                <w:szCs w:val="14"/>
                <w:color w:val="auto"/>
              </w:rPr>
            </w:pPr>
          </w:p>
        </w:tc>
      </w:tr>
      <w:tr>
        <w:trPr>
          <w:trHeight w:val="165"/>
        </w:trPr>
        <w:tc>
          <w:tcPr>
            <w:tcW w:w="780" w:type="dxa"/>
            <w:vAlign w:val="bottom"/>
          </w:tcPr>
          <w:p>
            <w:pPr>
              <w:spacing w:after="0"/>
              <w:rPr>
                <w:sz w:val="14"/>
                <w:szCs w:val="14"/>
                <w:color w:val="auto"/>
              </w:rPr>
            </w:pPr>
          </w:p>
        </w:tc>
        <w:tc>
          <w:tcPr>
            <w:tcW w:w="2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Interest Period</w:t>
            </w: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Period”), the New Notes will bear interest at an annual floating</w:t>
            </w:r>
          </w:p>
        </w:tc>
        <w:tc>
          <w:tcPr>
            <w:tcW w:w="740" w:type="dxa"/>
            <w:vAlign w:val="bottom"/>
          </w:tcPr>
          <w:p>
            <w:pPr>
              <w:spacing w:after="0"/>
              <w:rPr>
                <w:sz w:val="14"/>
                <w:szCs w:val="14"/>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rate, reset quarterly, equal to the Benchmark rate (which is</w:t>
            </w:r>
          </w:p>
        </w:tc>
        <w:tc>
          <w:tcPr>
            <w:tcW w:w="740" w:type="dxa"/>
            <w:vAlign w:val="bottom"/>
          </w:tcPr>
          <w:p>
            <w:pPr>
              <w:spacing w:after="0"/>
              <w:rPr>
                <w:sz w:val="14"/>
                <w:szCs w:val="14"/>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expected to be the then-current Three-Month Term SOFR), plus</w:t>
            </w:r>
          </w:p>
        </w:tc>
        <w:tc>
          <w:tcPr>
            <w:tcW w:w="740" w:type="dxa"/>
            <w:vAlign w:val="bottom"/>
          </w:tcPr>
          <w:p>
            <w:pPr>
              <w:spacing w:after="0"/>
              <w:rPr>
                <w:sz w:val="14"/>
                <w:szCs w:val="14"/>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233 basis points, provided, however, that in the event that the</w:t>
            </w:r>
          </w:p>
        </w:tc>
        <w:tc>
          <w:tcPr>
            <w:tcW w:w="740" w:type="dxa"/>
            <w:vAlign w:val="bottom"/>
          </w:tcPr>
          <w:p>
            <w:pPr>
              <w:spacing w:after="0"/>
              <w:rPr>
                <w:sz w:val="14"/>
                <w:szCs w:val="14"/>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Three-Month Term SOFR is less than zero, Three-Month Term</w:t>
            </w:r>
          </w:p>
        </w:tc>
        <w:tc>
          <w:tcPr>
            <w:tcW w:w="740" w:type="dxa"/>
            <w:vAlign w:val="bottom"/>
          </w:tcPr>
          <w:p>
            <w:pPr>
              <w:spacing w:after="0"/>
              <w:rPr>
                <w:sz w:val="14"/>
                <w:szCs w:val="14"/>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SOFR shall be deemed to be zero (as defined under “Description</w:t>
            </w:r>
          </w:p>
        </w:tc>
        <w:tc>
          <w:tcPr>
            <w:tcW w:w="740" w:type="dxa"/>
            <w:vAlign w:val="bottom"/>
          </w:tcPr>
          <w:p>
            <w:pPr>
              <w:spacing w:after="0"/>
              <w:rPr>
                <w:sz w:val="14"/>
                <w:szCs w:val="14"/>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the Notes — Principal, Maturity and Interest”). During the</w:t>
            </w:r>
          </w:p>
        </w:tc>
        <w:tc>
          <w:tcPr>
            <w:tcW w:w="740" w:type="dxa"/>
            <w:vAlign w:val="bottom"/>
          </w:tcPr>
          <w:p>
            <w:pPr>
              <w:spacing w:after="0"/>
              <w:rPr>
                <w:sz w:val="14"/>
                <w:szCs w:val="14"/>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Floating Interest Period, interest on the New Notes will be</w:t>
            </w:r>
          </w:p>
        </w:tc>
        <w:tc>
          <w:tcPr>
            <w:tcW w:w="740" w:type="dxa"/>
            <w:vAlign w:val="bottom"/>
          </w:tcPr>
          <w:p>
            <w:pPr>
              <w:spacing w:after="0"/>
              <w:rPr>
                <w:sz w:val="14"/>
                <w:szCs w:val="14"/>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payable quarterly in arrears on March 15, June 15, September 15</w:t>
            </w:r>
          </w:p>
        </w:tc>
        <w:tc>
          <w:tcPr>
            <w:tcW w:w="740" w:type="dxa"/>
            <w:vAlign w:val="bottom"/>
          </w:tcPr>
          <w:p>
            <w:pPr>
              <w:spacing w:after="0"/>
              <w:rPr>
                <w:sz w:val="14"/>
                <w:szCs w:val="14"/>
                <w:color w:val="auto"/>
              </w:rPr>
            </w:pPr>
          </w:p>
        </w:tc>
      </w:tr>
      <w:tr>
        <w:trPr>
          <w:trHeight w:val="178"/>
        </w:trPr>
        <w:tc>
          <w:tcPr>
            <w:tcW w:w="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December 15 of each year commencing on March 15, 2031.</w:t>
            </w:r>
          </w:p>
        </w:tc>
        <w:tc>
          <w:tcPr>
            <w:tcW w:w="740" w:type="dxa"/>
            <w:vAlign w:val="bottom"/>
          </w:tcPr>
          <w:p>
            <w:pPr>
              <w:spacing w:after="0"/>
              <w:rPr>
                <w:sz w:val="15"/>
                <w:szCs w:val="15"/>
                <w:color w:val="auto"/>
              </w:rPr>
            </w:pPr>
          </w:p>
        </w:tc>
      </w:tr>
      <w:tr>
        <w:trPr>
          <w:trHeight w:val="254"/>
        </w:trPr>
        <w:tc>
          <w:tcPr>
            <w:tcW w:w="7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 each interest period during the Floating Interest Period,</w:t>
            </w:r>
          </w:p>
        </w:tc>
        <w:tc>
          <w:tcPr>
            <w:tcW w:w="740" w:type="dxa"/>
            <w:vAlign w:val="bottom"/>
          </w:tcPr>
          <w:p>
            <w:pPr>
              <w:spacing w:after="0"/>
              <w:rPr>
                <w:sz w:val="22"/>
                <w:szCs w:val="22"/>
                <w:color w:val="auto"/>
              </w:rPr>
            </w:pPr>
          </w:p>
        </w:tc>
      </w:tr>
      <w:tr>
        <w:trPr>
          <w:trHeight w:val="155"/>
        </w:trPr>
        <w:tc>
          <w:tcPr>
            <w:tcW w:w="7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16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color w:val="auto"/>
              </w:rPr>
              <w:t>“Three-Month Term SOFR” means the rate for Term SOFR for a</w:t>
            </w:r>
          </w:p>
        </w:tc>
        <w:tc>
          <w:tcPr>
            <w:tcW w:w="740" w:type="dxa"/>
            <w:vAlign w:val="bottom"/>
          </w:tcPr>
          <w:p>
            <w:pPr>
              <w:spacing w:after="0"/>
              <w:rPr>
                <w:sz w:val="13"/>
                <w:szCs w:val="13"/>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tenor of three months that is published by the Term SOFR</w:t>
            </w:r>
          </w:p>
        </w:tc>
        <w:tc>
          <w:tcPr>
            <w:tcW w:w="740" w:type="dxa"/>
            <w:vAlign w:val="bottom"/>
          </w:tcPr>
          <w:p>
            <w:pPr>
              <w:spacing w:after="0"/>
              <w:rPr>
                <w:sz w:val="14"/>
                <w:szCs w:val="14"/>
                <w:color w:val="auto"/>
              </w:rPr>
            </w:pPr>
          </w:p>
        </w:tc>
      </w:tr>
      <w:tr>
        <w:trPr>
          <w:trHeight w:val="155"/>
        </w:trPr>
        <w:tc>
          <w:tcPr>
            <w:tcW w:w="7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16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color w:val="auto"/>
              </w:rPr>
              <w:t>Administrator at the Reference Time for any Floating Interest</w:t>
            </w:r>
          </w:p>
        </w:tc>
        <w:tc>
          <w:tcPr>
            <w:tcW w:w="740" w:type="dxa"/>
            <w:vAlign w:val="bottom"/>
          </w:tcPr>
          <w:p>
            <w:pPr>
              <w:spacing w:after="0"/>
              <w:rPr>
                <w:sz w:val="13"/>
                <w:szCs w:val="13"/>
                <w:color w:val="auto"/>
              </w:rPr>
            </w:pPr>
          </w:p>
        </w:tc>
      </w:tr>
      <w:tr>
        <w:trPr>
          <w:trHeight w:val="155"/>
        </w:trPr>
        <w:tc>
          <w:tcPr>
            <w:tcW w:w="7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16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color w:val="auto"/>
              </w:rPr>
              <w:t>Period, as determined by the calculation agent after giving effect</w:t>
            </w:r>
          </w:p>
        </w:tc>
        <w:tc>
          <w:tcPr>
            <w:tcW w:w="740" w:type="dxa"/>
            <w:vAlign w:val="bottom"/>
          </w:tcPr>
          <w:p>
            <w:pPr>
              <w:spacing w:after="0"/>
              <w:rPr>
                <w:sz w:val="13"/>
                <w:szCs w:val="13"/>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 the Three-Month Term SOFR Conventions; provided,</w:t>
            </w:r>
          </w:p>
        </w:tc>
        <w:tc>
          <w:tcPr>
            <w:tcW w:w="740" w:type="dxa"/>
            <w:vAlign w:val="bottom"/>
          </w:tcPr>
          <w:p>
            <w:pPr>
              <w:spacing w:after="0"/>
              <w:rPr>
                <w:sz w:val="14"/>
                <w:szCs w:val="14"/>
                <w:color w:val="auto"/>
              </w:rPr>
            </w:pPr>
          </w:p>
        </w:tc>
      </w:tr>
      <w:tr>
        <w:trPr>
          <w:trHeight w:val="155"/>
        </w:trPr>
        <w:tc>
          <w:tcPr>
            <w:tcW w:w="7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16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color w:val="auto"/>
              </w:rPr>
              <w:t>however, that in the event Three-Month Term SOFR is less than</w:t>
            </w:r>
          </w:p>
        </w:tc>
        <w:tc>
          <w:tcPr>
            <w:tcW w:w="740" w:type="dxa"/>
            <w:vAlign w:val="bottom"/>
          </w:tcPr>
          <w:p>
            <w:pPr>
              <w:spacing w:after="0"/>
              <w:rPr>
                <w:sz w:val="13"/>
                <w:szCs w:val="13"/>
                <w:color w:val="auto"/>
              </w:rPr>
            </w:pPr>
          </w:p>
        </w:tc>
      </w:tr>
      <w:tr>
        <w:trPr>
          <w:trHeight w:val="155"/>
        </w:trPr>
        <w:tc>
          <w:tcPr>
            <w:tcW w:w="7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16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color w:val="auto"/>
              </w:rPr>
              <w:t>zero, Three-Month Term SOFR shall be deemed to be zero (each</w:t>
            </w:r>
          </w:p>
        </w:tc>
        <w:tc>
          <w:tcPr>
            <w:tcW w:w="740" w:type="dxa"/>
            <w:vAlign w:val="bottom"/>
          </w:tcPr>
          <w:p>
            <w:pPr>
              <w:spacing w:after="0"/>
              <w:rPr>
                <w:sz w:val="13"/>
                <w:szCs w:val="13"/>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 defined under “Description of the Notes — Principal, Maturity</w:t>
            </w:r>
          </w:p>
        </w:tc>
        <w:tc>
          <w:tcPr>
            <w:tcW w:w="740" w:type="dxa"/>
            <w:vAlign w:val="bottom"/>
          </w:tcPr>
          <w:p>
            <w:pPr>
              <w:spacing w:after="0"/>
              <w:rPr>
                <w:sz w:val="14"/>
                <w:szCs w:val="14"/>
                <w:color w:val="auto"/>
              </w:rPr>
            </w:pPr>
          </w:p>
        </w:tc>
      </w:tr>
      <w:tr>
        <w:trPr>
          <w:trHeight w:val="155"/>
        </w:trPr>
        <w:tc>
          <w:tcPr>
            <w:tcW w:w="7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16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color w:val="auto"/>
              </w:rPr>
              <w:t>and Interest”). If the calculation agent determines that a</w:t>
            </w:r>
          </w:p>
        </w:tc>
        <w:tc>
          <w:tcPr>
            <w:tcW w:w="740" w:type="dxa"/>
            <w:vAlign w:val="bottom"/>
          </w:tcPr>
          <w:p>
            <w:pPr>
              <w:spacing w:after="0"/>
              <w:rPr>
                <w:sz w:val="13"/>
                <w:szCs w:val="13"/>
                <w:color w:val="auto"/>
              </w:rPr>
            </w:pPr>
          </w:p>
        </w:tc>
      </w:tr>
      <w:tr>
        <w:trPr>
          <w:trHeight w:val="155"/>
        </w:trPr>
        <w:tc>
          <w:tcPr>
            <w:tcW w:w="7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16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color w:val="auto"/>
              </w:rPr>
              <w:t>Benchmark Transition Event and its related Benchmark</w:t>
            </w:r>
          </w:p>
        </w:tc>
        <w:tc>
          <w:tcPr>
            <w:tcW w:w="740" w:type="dxa"/>
            <w:vAlign w:val="bottom"/>
          </w:tcPr>
          <w:p>
            <w:pPr>
              <w:spacing w:after="0"/>
              <w:rPr>
                <w:sz w:val="13"/>
                <w:szCs w:val="13"/>
                <w:color w:val="auto"/>
              </w:rPr>
            </w:pPr>
          </w:p>
        </w:tc>
      </w:tr>
      <w:tr>
        <w:trPr>
          <w:trHeight w:val="165"/>
        </w:trPr>
        <w:tc>
          <w:tcPr>
            <w:tcW w:w="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Replacement Date (each as defined under “Description of the</w:t>
            </w:r>
          </w:p>
        </w:tc>
        <w:tc>
          <w:tcPr>
            <w:tcW w:w="740" w:type="dxa"/>
            <w:vAlign w:val="bottom"/>
          </w:tcPr>
          <w:p>
            <w:pPr>
              <w:spacing w:after="0"/>
              <w:rPr>
                <w:sz w:val="14"/>
                <w:szCs w:val="14"/>
                <w:color w:val="auto"/>
              </w:rPr>
            </w:pPr>
          </w:p>
        </w:tc>
      </w:tr>
      <w:tr>
        <w:trPr>
          <w:trHeight w:val="178"/>
        </w:trPr>
        <w:tc>
          <w:tcPr>
            <w:tcW w:w="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Notes — Principal, Maturity and Interest”) have occurred prior</w:t>
            </w:r>
          </w:p>
        </w:tc>
        <w:tc>
          <w:tcPr>
            <w:tcW w:w="740" w:type="dxa"/>
            <w:vAlign w:val="bottom"/>
          </w:tcPr>
          <w:p>
            <w:pPr>
              <w:spacing w:after="0"/>
              <w:rPr>
                <w:sz w:val="15"/>
                <w:szCs w:val="15"/>
                <w:color w:val="auto"/>
              </w:rPr>
            </w:pPr>
          </w:p>
        </w:tc>
      </w:tr>
      <w:tr>
        <w:trPr>
          <w:trHeight w:val="221"/>
        </w:trPr>
        <w:tc>
          <w:tcPr>
            <w:tcW w:w="780" w:type="dxa"/>
            <w:vAlign w:val="bottom"/>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r>
      <w:tr>
        <w:trPr>
          <w:trHeight w:val="233"/>
        </w:trPr>
        <w:tc>
          <w:tcPr>
            <w:tcW w:w="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1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5</w:t>
            </w:r>
          </w:p>
        </w:tc>
        <w:tc>
          <w:tcPr>
            <w:tcW w:w="740" w:type="dxa"/>
            <w:vAlign w:val="bottom"/>
          </w:tcPr>
          <w:p>
            <w:pPr>
              <w:spacing w:after="0"/>
              <w:rPr>
                <w:sz w:val="20"/>
                <w:szCs w:val="20"/>
                <w:color w:val="auto"/>
              </w:rPr>
            </w:pPr>
          </w:p>
        </w:tc>
      </w:tr>
      <w:tr>
        <w:trPr>
          <w:trHeight w:val="299"/>
        </w:trPr>
        <w:tc>
          <w:tcPr>
            <w:tcW w:w="7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5434965</wp:posOffset>
            </wp:positionH>
            <wp:positionV relativeFrom="paragraph">
              <wp:posOffset>-25400</wp:posOffset>
            </wp:positionV>
            <wp:extent cx="3175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-25400</wp:posOffset>
            </wp:positionV>
            <wp:extent cx="3175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2" w:name="page13"/>
    <w:bookmarkEnd w:id="12"/>
    <w:p>
      <w:pPr>
        <w:ind w:left="4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248920</wp:posOffset>
            </wp:positionV>
            <wp:extent cx="4206875" cy="60782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206875" cy="6078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1920" w:type="dxa"/>
            <w:vAlign w:val="bottom"/>
          </w:tcPr>
          <w:p>
            <w:pPr>
              <w:spacing w:after="0"/>
              <w:rPr>
                <w:sz w:val="14"/>
                <w:szCs w:val="14"/>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to the Reference Time with respect to Three-Month Term SOFR</w:t>
            </w:r>
          </w:p>
        </w:tc>
      </w:tr>
      <w:tr>
        <w:trPr>
          <w:trHeight w:val="165"/>
        </w:trPr>
        <w:tc>
          <w:tcPr>
            <w:tcW w:w="1920" w:type="dxa"/>
            <w:vAlign w:val="bottom"/>
          </w:tcPr>
          <w:p>
            <w:pPr>
              <w:spacing w:after="0"/>
              <w:rPr>
                <w:sz w:val="14"/>
                <w:szCs w:val="14"/>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on any date, the Benchmark Replacement will replace the then-</w:t>
            </w:r>
          </w:p>
        </w:tc>
      </w:tr>
      <w:tr>
        <w:trPr>
          <w:trHeight w:val="165"/>
        </w:trPr>
        <w:tc>
          <w:tcPr>
            <w:tcW w:w="1920" w:type="dxa"/>
            <w:vAlign w:val="bottom"/>
          </w:tcPr>
          <w:p>
            <w:pPr>
              <w:spacing w:after="0"/>
              <w:rPr>
                <w:sz w:val="14"/>
                <w:szCs w:val="14"/>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current Benchmark (each as defined under “Description of the</w:t>
            </w:r>
          </w:p>
        </w:tc>
      </w:tr>
      <w:tr>
        <w:trPr>
          <w:trHeight w:val="165"/>
        </w:trPr>
        <w:tc>
          <w:tcPr>
            <w:tcW w:w="1920" w:type="dxa"/>
            <w:vAlign w:val="bottom"/>
          </w:tcPr>
          <w:p>
            <w:pPr>
              <w:spacing w:after="0"/>
              <w:rPr>
                <w:sz w:val="14"/>
                <w:szCs w:val="14"/>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Notes — Principal, Maturity and Interest”) for all purposes</w:t>
            </w:r>
          </w:p>
        </w:tc>
      </w:tr>
      <w:tr>
        <w:trPr>
          <w:trHeight w:val="165"/>
        </w:trPr>
        <w:tc>
          <w:tcPr>
            <w:tcW w:w="1920" w:type="dxa"/>
            <w:vAlign w:val="bottom"/>
          </w:tcPr>
          <w:p>
            <w:pPr>
              <w:spacing w:after="0"/>
              <w:rPr>
                <w:sz w:val="14"/>
                <w:szCs w:val="14"/>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relating to the New Notes during the relevant Floating Interest</w:t>
            </w:r>
          </w:p>
        </w:tc>
      </w:tr>
      <w:tr>
        <w:trPr>
          <w:trHeight w:val="165"/>
        </w:trPr>
        <w:tc>
          <w:tcPr>
            <w:tcW w:w="1920" w:type="dxa"/>
            <w:vAlign w:val="bottom"/>
          </w:tcPr>
          <w:p>
            <w:pPr>
              <w:spacing w:after="0"/>
              <w:rPr>
                <w:sz w:val="14"/>
                <w:szCs w:val="14"/>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Period in respect of such determination on such date and all</w:t>
            </w:r>
          </w:p>
        </w:tc>
      </w:tr>
      <w:tr>
        <w:trPr>
          <w:trHeight w:val="165"/>
        </w:trPr>
        <w:tc>
          <w:tcPr>
            <w:tcW w:w="1920" w:type="dxa"/>
            <w:vAlign w:val="bottom"/>
          </w:tcPr>
          <w:p>
            <w:pPr>
              <w:spacing w:after="0"/>
              <w:rPr>
                <w:sz w:val="14"/>
                <w:szCs w:val="14"/>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determinations on all subsequent dates. In accordance with the</w:t>
            </w:r>
          </w:p>
        </w:tc>
      </w:tr>
      <w:tr>
        <w:trPr>
          <w:trHeight w:val="165"/>
        </w:trPr>
        <w:tc>
          <w:tcPr>
            <w:tcW w:w="1920" w:type="dxa"/>
            <w:vAlign w:val="bottom"/>
          </w:tcPr>
          <w:p>
            <w:pPr>
              <w:spacing w:after="0"/>
              <w:rPr>
                <w:sz w:val="14"/>
                <w:szCs w:val="14"/>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benchmark transition provisions, after a Benchmark Transition</w:t>
            </w:r>
          </w:p>
        </w:tc>
      </w:tr>
      <w:tr>
        <w:trPr>
          <w:trHeight w:val="165"/>
        </w:trPr>
        <w:tc>
          <w:tcPr>
            <w:tcW w:w="1920" w:type="dxa"/>
            <w:vAlign w:val="bottom"/>
          </w:tcPr>
          <w:p>
            <w:pPr>
              <w:spacing w:after="0"/>
              <w:rPr>
                <w:sz w:val="14"/>
                <w:szCs w:val="14"/>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Event and its related Benchmark Replacement Date have</w:t>
            </w:r>
          </w:p>
        </w:tc>
      </w:tr>
      <w:tr>
        <w:trPr>
          <w:trHeight w:val="165"/>
        </w:trPr>
        <w:tc>
          <w:tcPr>
            <w:tcW w:w="1920" w:type="dxa"/>
            <w:vAlign w:val="bottom"/>
          </w:tcPr>
          <w:p>
            <w:pPr>
              <w:spacing w:after="0"/>
              <w:rPr>
                <w:sz w:val="14"/>
                <w:szCs w:val="14"/>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occurred, the interest rate on the New Notes for each interest</w:t>
            </w:r>
          </w:p>
        </w:tc>
      </w:tr>
      <w:tr>
        <w:trPr>
          <w:trHeight w:val="165"/>
        </w:trPr>
        <w:tc>
          <w:tcPr>
            <w:tcW w:w="1920" w:type="dxa"/>
            <w:vAlign w:val="bottom"/>
          </w:tcPr>
          <w:p>
            <w:pPr>
              <w:spacing w:after="0"/>
              <w:rPr>
                <w:sz w:val="14"/>
                <w:szCs w:val="14"/>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period during the Floating Interest Period will be an annual rate</w:t>
            </w:r>
          </w:p>
        </w:tc>
      </w:tr>
      <w:tr>
        <w:trPr>
          <w:trHeight w:val="165"/>
        </w:trPr>
        <w:tc>
          <w:tcPr>
            <w:tcW w:w="1920" w:type="dxa"/>
            <w:vAlign w:val="bottom"/>
          </w:tcPr>
          <w:p>
            <w:pPr>
              <w:spacing w:after="0"/>
              <w:rPr>
                <w:sz w:val="14"/>
                <w:szCs w:val="14"/>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equal to the sum of the applicable Benchmark Replacement (as</w:t>
            </w:r>
          </w:p>
        </w:tc>
      </w:tr>
      <w:tr>
        <w:trPr>
          <w:trHeight w:val="165"/>
        </w:trPr>
        <w:tc>
          <w:tcPr>
            <w:tcW w:w="1920" w:type="dxa"/>
            <w:vAlign w:val="bottom"/>
          </w:tcPr>
          <w:p>
            <w:pPr>
              <w:spacing w:after="0"/>
              <w:rPr>
                <w:sz w:val="14"/>
                <w:szCs w:val="14"/>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defined under “Description of the Notes — Effect of Benchmark</w:t>
            </w:r>
          </w:p>
        </w:tc>
      </w:tr>
      <w:tr>
        <w:trPr>
          <w:trHeight w:val="178"/>
        </w:trPr>
        <w:tc>
          <w:tcPr>
            <w:tcW w:w="1920" w:type="dxa"/>
            <w:vAlign w:val="bottom"/>
          </w:tcPr>
          <w:p>
            <w:pPr>
              <w:spacing w:after="0"/>
              <w:rPr>
                <w:sz w:val="15"/>
                <w:szCs w:val="15"/>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Transition Event”), plus 233 basis points.</w:t>
            </w: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Day Count Convention</w:t>
            </w: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Twelve 30-day months/360-day year to but excluding March 15,</w:t>
            </w:r>
          </w:p>
        </w:tc>
      </w:tr>
      <w:tr>
        <w:trPr>
          <w:trHeight w:val="165"/>
        </w:trPr>
        <w:tc>
          <w:tcPr>
            <w:tcW w:w="1920" w:type="dxa"/>
            <w:vAlign w:val="bottom"/>
          </w:tcPr>
          <w:p>
            <w:pPr>
              <w:spacing w:after="0"/>
              <w:rPr>
                <w:sz w:val="14"/>
                <w:szCs w:val="14"/>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2031, and thereafter, a 360-day year and the number of days</w:t>
            </w:r>
          </w:p>
        </w:tc>
      </w:tr>
      <w:tr>
        <w:trPr>
          <w:trHeight w:val="178"/>
        </w:trPr>
        <w:tc>
          <w:tcPr>
            <w:tcW w:w="1920" w:type="dxa"/>
            <w:vAlign w:val="bottom"/>
          </w:tcPr>
          <w:p>
            <w:pPr>
              <w:spacing w:after="0"/>
              <w:rPr>
                <w:sz w:val="15"/>
                <w:szCs w:val="15"/>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actually elapsed.</w:t>
            </w: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Record Dates</w:t>
            </w: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Each interest payment will be made to the holders of record who</w:t>
            </w:r>
          </w:p>
        </w:tc>
      </w:tr>
      <w:tr>
        <w:trPr>
          <w:trHeight w:val="165"/>
        </w:trPr>
        <w:tc>
          <w:tcPr>
            <w:tcW w:w="1920" w:type="dxa"/>
            <w:vAlign w:val="bottom"/>
          </w:tcPr>
          <w:p>
            <w:pPr>
              <w:spacing w:after="0"/>
              <w:rPr>
                <w:sz w:val="14"/>
                <w:szCs w:val="14"/>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held the New Notes at the close of business on the fifteenth</w:t>
            </w:r>
          </w:p>
        </w:tc>
      </w:tr>
      <w:tr>
        <w:trPr>
          <w:trHeight w:val="178"/>
        </w:trPr>
        <w:tc>
          <w:tcPr>
            <w:tcW w:w="1920" w:type="dxa"/>
            <w:vAlign w:val="bottom"/>
          </w:tcPr>
          <w:p>
            <w:pPr>
              <w:spacing w:after="0"/>
              <w:rPr>
                <w:sz w:val="15"/>
                <w:szCs w:val="15"/>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calendar day prior to the applicable interest payment date.</w:t>
            </w: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Subordination; Ranking</w:t>
            </w: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The New Notes will be our general unsecured, subordinated</w:t>
            </w:r>
          </w:p>
        </w:tc>
      </w:tr>
      <w:tr>
        <w:trPr>
          <w:trHeight w:val="178"/>
        </w:trPr>
        <w:tc>
          <w:tcPr>
            <w:tcW w:w="1920" w:type="dxa"/>
            <w:vAlign w:val="bottom"/>
          </w:tcPr>
          <w:p>
            <w:pPr>
              <w:spacing w:after="0"/>
              <w:rPr>
                <w:sz w:val="15"/>
                <w:szCs w:val="15"/>
                <w:color w:val="auto"/>
              </w:rPr>
            </w:pPr>
          </w:p>
        </w:tc>
        <w:tc>
          <w:tcPr>
            <w:tcW w:w="43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obligations and:</w:t>
            </w:r>
          </w:p>
        </w:tc>
      </w:tr>
      <w:tr>
        <w:trPr>
          <w:trHeight w:val="265"/>
        </w:trPr>
        <w:tc>
          <w:tcPr>
            <w:tcW w:w="1920" w:type="dxa"/>
            <w:vAlign w:val="bottom"/>
          </w:tcPr>
          <w:p>
            <w:pPr>
              <w:spacing w:after="0"/>
              <w:rPr>
                <w:sz w:val="23"/>
                <w:szCs w:val="23"/>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will rank junior in right of payment and upon our liquidation</w:t>
            </w:r>
          </w:p>
        </w:tc>
      </w:tr>
      <w:tr>
        <w:trPr>
          <w:trHeight w:val="165"/>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our existing and future senior indebtedness (as defined</w:t>
            </w:r>
          </w:p>
        </w:tc>
      </w:tr>
      <w:tr>
        <w:trPr>
          <w:trHeight w:val="178"/>
        </w:trPr>
        <w:tc>
          <w:tcPr>
            <w:tcW w:w="1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herein);</w:t>
            </w:r>
          </w:p>
        </w:tc>
      </w:tr>
      <w:tr>
        <w:trPr>
          <w:trHeight w:val="265"/>
        </w:trPr>
        <w:tc>
          <w:tcPr>
            <w:tcW w:w="1920" w:type="dxa"/>
            <w:vAlign w:val="bottom"/>
          </w:tcPr>
          <w:p>
            <w:pPr>
              <w:spacing w:after="0"/>
              <w:rPr>
                <w:sz w:val="23"/>
                <w:szCs w:val="23"/>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will rank equally in right of payment and upon our</w:t>
            </w:r>
          </w:p>
        </w:tc>
      </w:tr>
      <w:tr>
        <w:trPr>
          <w:trHeight w:val="165"/>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liquidation with our existing and all future indebtedness the</w:t>
            </w:r>
          </w:p>
        </w:tc>
      </w:tr>
      <w:tr>
        <w:trPr>
          <w:trHeight w:val="165"/>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terms of which provide that such indebtedness ranks equally</w:t>
            </w:r>
          </w:p>
        </w:tc>
      </w:tr>
      <w:tr>
        <w:trPr>
          <w:trHeight w:val="165"/>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promissory notes, bonds, debentures and other</w:t>
            </w:r>
          </w:p>
        </w:tc>
      </w:tr>
      <w:tr>
        <w:trPr>
          <w:trHeight w:val="165"/>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evidences of indebtedness of types that include the New</w:t>
            </w:r>
          </w:p>
        </w:tc>
      </w:tr>
      <w:tr>
        <w:trPr>
          <w:trHeight w:val="178"/>
        </w:trPr>
        <w:tc>
          <w:tcPr>
            <w:tcW w:w="1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Notes;</w:t>
            </w:r>
          </w:p>
        </w:tc>
      </w:tr>
      <w:tr>
        <w:trPr>
          <w:trHeight w:val="254"/>
        </w:trPr>
        <w:tc>
          <w:tcPr>
            <w:tcW w:w="1920" w:type="dxa"/>
            <w:vAlign w:val="bottom"/>
          </w:tcPr>
          <w:p>
            <w:pPr>
              <w:spacing w:after="0"/>
              <w:rPr>
                <w:sz w:val="22"/>
                <w:szCs w:val="22"/>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will rank senior in right of payment and upon our liquidation</w:t>
            </w:r>
          </w:p>
        </w:tc>
      </w:tr>
      <w:tr>
        <w:trPr>
          <w:trHeight w:val="165"/>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any indebtedness the terms of which provide that such</w:t>
            </w:r>
          </w:p>
        </w:tc>
      </w:tr>
      <w:tr>
        <w:trPr>
          <w:trHeight w:val="165"/>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indebtedness ranks junior to promissory notes, bonds,</w:t>
            </w:r>
          </w:p>
        </w:tc>
      </w:tr>
      <w:tr>
        <w:trPr>
          <w:trHeight w:val="165"/>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debentures and other evidences of indebtedness of types that</w:t>
            </w:r>
          </w:p>
        </w:tc>
      </w:tr>
      <w:tr>
        <w:trPr>
          <w:trHeight w:val="178"/>
        </w:trPr>
        <w:tc>
          <w:tcPr>
            <w:tcW w:w="1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include the New Notes; and</w:t>
            </w:r>
          </w:p>
        </w:tc>
      </w:tr>
      <w:tr>
        <w:trPr>
          <w:trHeight w:val="265"/>
        </w:trPr>
        <w:tc>
          <w:tcPr>
            <w:tcW w:w="1920" w:type="dxa"/>
            <w:vAlign w:val="bottom"/>
          </w:tcPr>
          <w:p>
            <w:pPr>
              <w:spacing w:after="0"/>
              <w:rPr>
                <w:sz w:val="23"/>
                <w:szCs w:val="23"/>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will be effectively subordinated to all of the existing and</w:t>
            </w:r>
          </w:p>
        </w:tc>
      </w:tr>
      <w:tr>
        <w:trPr>
          <w:trHeight w:val="165"/>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future indebtedness, deposits and other liabilities of the</w:t>
            </w:r>
          </w:p>
        </w:tc>
      </w:tr>
      <w:tr>
        <w:trPr>
          <w:trHeight w:val="165"/>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Bank and our other current and future subsidiaries, including</w:t>
            </w:r>
          </w:p>
        </w:tc>
      </w:tr>
      <w:tr>
        <w:trPr>
          <w:trHeight w:val="165"/>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without limitation, the Bank’s liabilities to depositors in</w:t>
            </w:r>
          </w:p>
        </w:tc>
      </w:tr>
      <w:tr>
        <w:trPr>
          <w:trHeight w:val="165"/>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connection with the deposits in the Bank, as well as to its</w:t>
            </w:r>
          </w:p>
        </w:tc>
      </w:tr>
      <w:tr>
        <w:trPr>
          <w:trHeight w:val="165"/>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subsidiary’s liabilities to general creditors and liabilities</w:t>
            </w:r>
          </w:p>
        </w:tc>
      </w:tr>
      <w:tr>
        <w:trPr>
          <w:trHeight w:val="178"/>
        </w:trPr>
        <w:tc>
          <w:tcPr>
            <w:tcW w:w="1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arising during the ordinary course or otherwise.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3" w:name="page14"/>
    <w:bookmarkEnd w:id="13"/>
    <w:p>
      <w:pPr>
        <w:ind w:left="420"/>
        <w:spacing w:after="0"/>
        <w:rPr>
          <w:sz w:val="20"/>
          <w:szCs w:val="20"/>
          <w:color w:val="auto"/>
        </w:rPr>
      </w:pPr>
      <w:r>
        <w:rPr>
          <w:rFonts w:ascii="Calibri" w:cs="Calibri" w:eastAsia="Calibri" w:hAnsi="Calibri"/>
          <w:sz w:val="11"/>
          <w:szCs w:val="11"/>
          <w:color w:val="003366"/>
        </w:rPr>
        <w:t>TABLE OF CONTENTS</w:t>
      </w:r>
    </w:p>
    <w:p>
      <w:pPr>
        <w:spacing w:after="0" w:line="372" w:lineRule="exact"/>
        <w:rPr>
          <w:sz w:val="20"/>
          <w:szCs w:val="20"/>
          <w:color w:val="auto"/>
        </w:rPr>
      </w:pPr>
    </w:p>
    <w:tbl>
      <w:tblPr>
        <w:tblLayout w:type="fixed"/>
        <w:tblInd w:w="420" w:type="dxa"/>
        <w:tblCellMar>
          <w:top w:w="0" w:type="dxa"/>
          <w:left w:w="0" w:type="dxa"/>
          <w:bottom w:w="0" w:type="dxa"/>
          <w:right w:w="0" w:type="dxa"/>
        </w:tblCellMar>
      </w:tblPr>
      <w:tr>
        <w:trPr>
          <w:trHeight w:val="404"/>
        </w:trPr>
        <w:tc>
          <w:tcPr>
            <w:tcW w:w="800" w:type="dxa"/>
            <w:vAlign w:val="bottom"/>
            <w:tcBorders>
              <w:right w:val="single" w:sz="8" w:color="auto"/>
            </w:tcBorders>
          </w:tcPr>
          <w:p>
            <w:pPr>
              <w:spacing w:after="0"/>
              <w:rPr>
                <w:sz w:val="24"/>
                <w:szCs w:val="24"/>
                <w:color w:val="auto"/>
              </w:rPr>
            </w:pPr>
          </w:p>
        </w:tc>
        <w:tc>
          <w:tcPr>
            <w:tcW w:w="23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Optional Redemption</w:t>
            </w:r>
          </w:p>
        </w:tc>
        <w:tc>
          <w:tcPr>
            <w:tcW w:w="428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We may, at our option, (i) on any date on or after March 15,</w:t>
            </w:r>
          </w:p>
        </w:tc>
        <w:tc>
          <w:tcPr>
            <w:tcW w:w="740" w:type="dxa"/>
            <w:vAlign w:val="bottom"/>
          </w:tcPr>
          <w:p>
            <w:pPr>
              <w:spacing w:after="0"/>
              <w:rPr>
                <w:sz w:val="24"/>
                <w:szCs w:val="2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2031, redeem all or a portion of the New Notes, and (ii) redeem</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all, but not a portion of, the New Notes at any time upon an</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Investment Company Event, a Tax Event or a Tier 2 Capital</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Event (each as described in “Description of the Notes — </w:t>
            </w:r>
          </w:p>
        </w:tc>
        <w:tc>
          <w:tcPr>
            <w:tcW w:w="740" w:type="dxa"/>
            <w:vAlign w:val="bottom"/>
          </w:tcPr>
          <w:p>
            <w:pPr>
              <w:spacing w:after="0"/>
              <w:rPr>
                <w:sz w:val="14"/>
                <w:szCs w:val="14"/>
                <w:color w:val="auto"/>
              </w:rPr>
            </w:pPr>
          </w:p>
        </w:tc>
      </w:tr>
      <w:tr>
        <w:trPr>
          <w:trHeight w:val="178"/>
        </w:trPr>
        <w:tc>
          <w:tcPr>
            <w:tcW w:w="800" w:type="dxa"/>
            <w:vAlign w:val="bottom"/>
            <w:tcBorders>
              <w:right w:val="single" w:sz="8" w:color="auto"/>
            </w:tcBorders>
          </w:tcPr>
          <w:p>
            <w:pPr>
              <w:spacing w:after="0"/>
              <w:rPr>
                <w:sz w:val="15"/>
                <w:szCs w:val="15"/>
                <w:color w:val="auto"/>
              </w:rPr>
            </w:pPr>
          </w:p>
        </w:tc>
        <w:tc>
          <w:tcPr>
            <w:tcW w:w="2340" w:type="dxa"/>
            <w:vAlign w:val="bottom"/>
          </w:tcPr>
          <w:p>
            <w:pPr>
              <w:spacing w:after="0"/>
              <w:rPr>
                <w:sz w:val="15"/>
                <w:szCs w:val="15"/>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Redemption”).</w:t>
            </w:r>
          </w:p>
        </w:tc>
        <w:tc>
          <w:tcPr>
            <w:tcW w:w="740" w:type="dxa"/>
            <w:vAlign w:val="bottom"/>
          </w:tcPr>
          <w:p>
            <w:pPr>
              <w:spacing w:after="0"/>
              <w:rPr>
                <w:sz w:val="15"/>
                <w:szCs w:val="15"/>
                <w:color w:val="auto"/>
              </w:rPr>
            </w:pPr>
          </w:p>
        </w:tc>
      </w:tr>
      <w:tr>
        <w:trPr>
          <w:trHeight w:val="254"/>
        </w:trPr>
        <w:tc>
          <w:tcPr>
            <w:tcW w:w="800" w:type="dxa"/>
            <w:vAlign w:val="bottom"/>
            <w:tcBorders>
              <w:right w:val="single" w:sz="8" w:color="auto"/>
            </w:tcBorders>
          </w:tcPr>
          <w:p>
            <w:pPr>
              <w:spacing w:after="0"/>
              <w:rPr>
                <w:sz w:val="22"/>
                <w:szCs w:val="22"/>
                <w:color w:val="auto"/>
              </w:rPr>
            </w:pPr>
          </w:p>
        </w:tc>
        <w:tc>
          <w:tcPr>
            <w:tcW w:w="2340" w:type="dxa"/>
            <w:vAlign w:val="bottom"/>
          </w:tcPr>
          <w:p>
            <w:pPr>
              <w:spacing w:after="0"/>
              <w:rPr>
                <w:sz w:val="22"/>
                <w:szCs w:val="22"/>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Any redemption of the New Notes will be subject to prior</w:t>
            </w:r>
          </w:p>
        </w:tc>
        <w:tc>
          <w:tcPr>
            <w:tcW w:w="740" w:type="dxa"/>
            <w:vAlign w:val="bottom"/>
          </w:tcPr>
          <w:p>
            <w:pPr>
              <w:spacing w:after="0"/>
              <w:rPr>
                <w:sz w:val="22"/>
                <w:szCs w:val="22"/>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approval of the Board of Governors of the Federal Reserve</w:t>
            </w:r>
          </w:p>
        </w:tc>
        <w:tc>
          <w:tcPr>
            <w:tcW w:w="740" w:type="dxa"/>
            <w:vAlign w:val="bottom"/>
          </w:tcPr>
          <w:p>
            <w:pPr>
              <w:spacing w:after="0"/>
              <w:rPr>
                <w:sz w:val="14"/>
                <w:szCs w:val="14"/>
                <w:color w:val="auto"/>
              </w:rPr>
            </w:pPr>
          </w:p>
        </w:tc>
      </w:tr>
      <w:tr>
        <w:trPr>
          <w:trHeight w:val="155"/>
        </w:trPr>
        <w:tc>
          <w:tcPr>
            <w:tcW w:w="800" w:type="dxa"/>
            <w:vAlign w:val="bottom"/>
            <w:tcBorders>
              <w:right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4280" w:type="dxa"/>
            <w:vAlign w:val="bottom"/>
            <w:tcBorders>
              <w:right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System (the “Federal Reserve”), to the extent such approval is</w:t>
            </w:r>
          </w:p>
        </w:tc>
        <w:tc>
          <w:tcPr>
            <w:tcW w:w="740" w:type="dxa"/>
            <w:vAlign w:val="bottom"/>
          </w:tcPr>
          <w:p>
            <w:pPr>
              <w:spacing w:after="0"/>
              <w:rPr>
                <w:sz w:val="13"/>
                <w:szCs w:val="13"/>
                <w:color w:val="auto"/>
              </w:rPr>
            </w:pPr>
          </w:p>
        </w:tc>
      </w:tr>
      <w:tr>
        <w:trPr>
          <w:trHeight w:val="155"/>
        </w:trPr>
        <w:tc>
          <w:tcPr>
            <w:tcW w:w="800" w:type="dxa"/>
            <w:vAlign w:val="bottom"/>
            <w:tcBorders>
              <w:right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4280" w:type="dxa"/>
            <w:vAlign w:val="bottom"/>
            <w:tcBorders>
              <w:right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then required. Any redemption of the New Notes will be at a</w:t>
            </w:r>
          </w:p>
        </w:tc>
        <w:tc>
          <w:tcPr>
            <w:tcW w:w="740" w:type="dxa"/>
            <w:vAlign w:val="bottom"/>
          </w:tcPr>
          <w:p>
            <w:pPr>
              <w:spacing w:after="0"/>
              <w:rPr>
                <w:sz w:val="13"/>
                <w:szCs w:val="13"/>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redemption price equal to 100% of the principal amount of the</w:t>
            </w:r>
          </w:p>
        </w:tc>
        <w:tc>
          <w:tcPr>
            <w:tcW w:w="740" w:type="dxa"/>
            <w:vAlign w:val="bottom"/>
          </w:tcPr>
          <w:p>
            <w:pPr>
              <w:spacing w:after="0"/>
              <w:rPr>
                <w:sz w:val="14"/>
                <w:szCs w:val="14"/>
                <w:color w:val="auto"/>
              </w:rPr>
            </w:pPr>
          </w:p>
        </w:tc>
      </w:tr>
      <w:tr>
        <w:trPr>
          <w:trHeight w:val="155"/>
        </w:trPr>
        <w:tc>
          <w:tcPr>
            <w:tcW w:w="800" w:type="dxa"/>
            <w:vAlign w:val="bottom"/>
            <w:tcBorders>
              <w:right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4280" w:type="dxa"/>
            <w:vAlign w:val="bottom"/>
            <w:tcBorders>
              <w:right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New Notes being redeemed, plus accrued but unpaid interest and</w:t>
            </w:r>
          </w:p>
        </w:tc>
        <w:tc>
          <w:tcPr>
            <w:tcW w:w="740" w:type="dxa"/>
            <w:vAlign w:val="bottom"/>
          </w:tcPr>
          <w:p>
            <w:pPr>
              <w:spacing w:after="0"/>
              <w:rPr>
                <w:sz w:val="13"/>
                <w:szCs w:val="13"/>
                <w:color w:val="auto"/>
              </w:rPr>
            </w:pPr>
          </w:p>
        </w:tc>
      </w:tr>
      <w:tr>
        <w:trPr>
          <w:trHeight w:val="155"/>
        </w:trPr>
        <w:tc>
          <w:tcPr>
            <w:tcW w:w="800" w:type="dxa"/>
            <w:vAlign w:val="bottom"/>
            <w:tcBorders>
              <w:right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4280" w:type="dxa"/>
            <w:vAlign w:val="bottom"/>
            <w:tcBorders>
              <w:right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additional interest, if any, thereon to, but excluding, the date of</w:t>
            </w:r>
          </w:p>
        </w:tc>
        <w:tc>
          <w:tcPr>
            <w:tcW w:w="740" w:type="dxa"/>
            <w:vAlign w:val="bottom"/>
          </w:tcPr>
          <w:p>
            <w:pPr>
              <w:spacing w:after="0"/>
              <w:rPr>
                <w:sz w:val="13"/>
                <w:szCs w:val="13"/>
                <w:color w:val="auto"/>
              </w:rPr>
            </w:pPr>
          </w:p>
        </w:tc>
      </w:tr>
      <w:tr>
        <w:trPr>
          <w:trHeight w:val="178"/>
        </w:trPr>
        <w:tc>
          <w:tcPr>
            <w:tcW w:w="800" w:type="dxa"/>
            <w:vAlign w:val="bottom"/>
            <w:tcBorders>
              <w:right w:val="single" w:sz="8" w:color="auto"/>
            </w:tcBorders>
          </w:tcPr>
          <w:p>
            <w:pPr>
              <w:spacing w:after="0"/>
              <w:rPr>
                <w:sz w:val="15"/>
                <w:szCs w:val="15"/>
                <w:color w:val="auto"/>
              </w:rPr>
            </w:pPr>
          </w:p>
        </w:tc>
        <w:tc>
          <w:tcPr>
            <w:tcW w:w="2340" w:type="dxa"/>
            <w:vAlign w:val="bottom"/>
          </w:tcPr>
          <w:p>
            <w:pPr>
              <w:spacing w:after="0"/>
              <w:rPr>
                <w:sz w:val="15"/>
                <w:szCs w:val="15"/>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redemption.</w:t>
            </w:r>
          </w:p>
        </w:tc>
        <w:tc>
          <w:tcPr>
            <w:tcW w:w="740" w:type="dxa"/>
            <w:vAlign w:val="bottom"/>
          </w:tcPr>
          <w:p>
            <w:pPr>
              <w:spacing w:after="0"/>
              <w:rPr>
                <w:sz w:val="15"/>
                <w:szCs w:val="15"/>
                <w:color w:val="auto"/>
              </w:rPr>
            </w:pPr>
          </w:p>
        </w:tc>
      </w:tr>
      <w:tr>
        <w:trPr>
          <w:trHeight w:val="254"/>
        </w:trPr>
        <w:tc>
          <w:tcPr>
            <w:tcW w:w="800" w:type="dxa"/>
            <w:vAlign w:val="bottom"/>
            <w:tcBorders>
              <w:right w:val="single" w:sz="8" w:color="auto"/>
            </w:tcBorders>
          </w:tcPr>
          <w:p>
            <w:pPr>
              <w:spacing w:after="0"/>
              <w:rPr>
                <w:sz w:val="22"/>
                <w:szCs w:val="22"/>
                <w:color w:val="auto"/>
              </w:rPr>
            </w:pPr>
          </w:p>
        </w:tc>
        <w:tc>
          <w:tcPr>
            <w:tcW w:w="2340" w:type="dxa"/>
            <w:vAlign w:val="bottom"/>
          </w:tcPr>
          <w:p>
            <w:pPr>
              <w:spacing w:after="0"/>
              <w:rPr>
                <w:sz w:val="22"/>
                <w:szCs w:val="22"/>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If all or any portion of the New Notes ceases to be deemed to be</w:t>
            </w:r>
          </w:p>
        </w:tc>
        <w:tc>
          <w:tcPr>
            <w:tcW w:w="740" w:type="dxa"/>
            <w:vAlign w:val="bottom"/>
          </w:tcPr>
          <w:p>
            <w:pPr>
              <w:spacing w:after="0"/>
              <w:rPr>
                <w:sz w:val="22"/>
                <w:szCs w:val="22"/>
                <w:color w:val="auto"/>
              </w:rPr>
            </w:pPr>
          </w:p>
        </w:tc>
      </w:tr>
      <w:tr>
        <w:trPr>
          <w:trHeight w:val="155"/>
        </w:trPr>
        <w:tc>
          <w:tcPr>
            <w:tcW w:w="800" w:type="dxa"/>
            <w:vAlign w:val="bottom"/>
            <w:tcBorders>
              <w:right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4280" w:type="dxa"/>
            <w:vAlign w:val="bottom"/>
            <w:tcBorders>
              <w:right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Tier 2 Capital, other than due to the limitation imposed on the</w:t>
            </w:r>
          </w:p>
        </w:tc>
        <w:tc>
          <w:tcPr>
            <w:tcW w:w="740" w:type="dxa"/>
            <w:vAlign w:val="bottom"/>
          </w:tcPr>
          <w:p>
            <w:pPr>
              <w:spacing w:after="0"/>
              <w:rPr>
                <w:sz w:val="13"/>
                <w:szCs w:val="13"/>
                <w:color w:val="auto"/>
              </w:rPr>
            </w:pPr>
          </w:p>
        </w:tc>
      </w:tr>
      <w:tr>
        <w:trPr>
          <w:trHeight w:val="155"/>
        </w:trPr>
        <w:tc>
          <w:tcPr>
            <w:tcW w:w="800" w:type="dxa"/>
            <w:vAlign w:val="bottom"/>
            <w:tcBorders>
              <w:right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4280" w:type="dxa"/>
            <w:vAlign w:val="bottom"/>
            <w:tcBorders>
              <w:right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capital treatment of subordinated debt during the five (5) years</w:t>
            </w:r>
          </w:p>
        </w:tc>
        <w:tc>
          <w:tcPr>
            <w:tcW w:w="740" w:type="dxa"/>
            <w:vAlign w:val="bottom"/>
          </w:tcPr>
          <w:p>
            <w:pPr>
              <w:spacing w:after="0"/>
              <w:rPr>
                <w:sz w:val="13"/>
                <w:szCs w:val="13"/>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immediately preceding the maturity date of the New Notes, the</w:t>
            </w:r>
          </w:p>
        </w:tc>
        <w:tc>
          <w:tcPr>
            <w:tcW w:w="740" w:type="dxa"/>
            <w:vAlign w:val="bottom"/>
          </w:tcPr>
          <w:p>
            <w:pPr>
              <w:spacing w:after="0"/>
              <w:rPr>
                <w:sz w:val="14"/>
                <w:szCs w:val="14"/>
                <w:color w:val="auto"/>
              </w:rPr>
            </w:pPr>
          </w:p>
        </w:tc>
      </w:tr>
      <w:tr>
        <w:trPr>
          <w:trHeight w:val="155"/>
        </w:trPr>
        <w:tc>
          <w:tcPr>
            <w:tcW w:w="800" w:type="dxa"/>
            <w:vAlign w:val="bottom"/>
            <w:tcBorders>
              <w:right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4280" w:type="dxa"/>
            <w:vAlign w:val="bottom"/>
            <w:tcBorders>
              <w:right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Company will immediately notify the trustee and the holders</w:t>
            </w:r>
          </w:p>
        </w:tc>
        <w:tc>
          <w:tcPr>
            <w:tcW w:w="740" w:type="dxa"/>
            <w:vAlign w:val="bottom"/>
          </w:tcPr>
          <w:p>
            <w:pPr>
              <w:spacing w:after="0"/>
              <w:rPr>
                <w:sz w:val="13"/>
                <w:szCs w:val="13"/>
                <w:color w:val="auto"/>
              </w:rPr>
            </w:pPr>
          </w:p>
        </w:tc>
      </w:tr>
      <w:tr>
        <w:trPr>
          <w:trHeight w:val="155"/>
        </w:trPr>
        <w:tc>
          <w:tcPr>
            <w:tcW w:w="800" w:type="dxa"/>
            <w:vAlign w:val="bottom"/>
            <w:tcBorders>
              <w:right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4280" w:type="dxa"/>
            <w:vAlign w:val="bottom"/>
            <w:tcBorders>
              <w:right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thereof, and thereafter the Company and the holders will work</w:t>
            </w:r>
          </w:p>
        </w:tc>
        <w:tc>
          <w:tcPr>
            <w:tcW w:w="740" w:type="dxa"/>
            <w:vAlign w:val="bottom"/>
          </w:tcPr>
          <w:p>
            <w:pPr>
              <w:spacing w:after="0"/>
              <w:rPr>
                <w:sz w:val="13"/>
                <w:szCs w:val="13"/>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together in good faith, subject to the terms of the New Notes, to</w:t>
            </w:r>
          </w:p>
        </w:tc>
        <w:tc>
          <w:tcPr>
            <w:tcW w:w="740" w:type="dxa"/>
            <w:vAlign w:val="bottom"/>
          </w:tcPr>
          <w:p>
            <w:pPr>
              <w:spacing w:after="0"/>
              <w:rPr>
                <w:sz w:val="14"/>
                <w:szCs w:val="14"/>
                <w:color w:val="auto"/>
              </w:rPr>
            </w:pPr>
          </w:p>
        </w:tc>
      </w:tr>
      <w:tr>
        <w:trPr>
          <w:trHeight w:val="155"/>
        </w:trPr>
        <w:tc>
          <w:tcPr>
            <w:tcW w:w="800" w:type="dxa"/>
            <w:vAlign w:val="bottom"/>
            <w:tcBorders>
              <w:right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4280" w:type="dxa"/>
            <w:vAlign w:val="bottom"/>
            <w:tcBorders>
              <w:right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execute and deliver all agreements as reasonably necessary in</w:t>
            </w:r>
          </w:p>
        </w:tc>
        <w:tc>
          <w:tcPr>
            <w:tcW w:w="740" w:type="dxa"/>
            <w:vAlign w:val="bottom"/>
          </w:tcPr>
          <w:p>
            <w:pPr>
              <w:spacing w:after="0"/>
              <w:rPr>
                <w:sz w:val="13"/>
                <w:szCs w:val="13"/>
                <w:color w:val="auto"/>
              </w:rPr>
            </w:pPr>
          </w:p>
        </w:tc>
      </w:tr>
      <w:tr>
        <w:trPr>
          <w:trHeight w:val="155"/>
        </w:trPr>
        <w:tc>
          <w:tcPr>
            <w:tcW w:w="800" w:type="dxa"/>
            <w:vAlign w:val="bottom"/>
            <w:tcBorders>
              <w:right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4280" w:type="dxa"/>
            <w:vAlign w:val="bottom"/>
            <w:tcBorders>
              <w:right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order to restructure the applicable portions of the obligations</w:t>
            </w:r>
          </w:p>
        </w:tc>
        <w:tc>
          <w:tcPr>
            <w:tcW w:w="740" w:type="dxa"/>
            <w:vAlign w:val="bottom"/>
          </w:tcPr>
          <w:p>
            <w:pPr>
              <w:spacing w:after="0"/>
              <w:rPr>
                <w:sz w:val="13"/>
                <w:szCs w:val="13"/>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evidenced by the New Notes to qualify as Tier 2 Capital;</w:t>
            </w:r>
          </w:p>
        </w:tc>
        <w:tc>
          <w:tcPr>
            <w:tcW w:w="740" w:type="dxa"/>
            <w:vAlign w:val="bottom"/>
          </w:tcPr>
          <w:p>
            <w:pPr>
              <w:spacing w:after="0"/>
              <w:rPr>
                <w:sz w:val="14"/>
                <w:szCs w:val="14"/>
                <w:color w:val="auto"/>
              </w:rPr>
            </w:pPr>
          </w:p>
        </w:tc>
      </w:tr>
      <w:tr>
        <w:trPr>
          <w:trHeight w:val="155"/>
        </w:trPr>
        <w:tc>
          <w:tcPr>
            <w:tcW w:w="800" w:type="dxa"/>
            <w:vAlign w:val="bottom"/>
            <w:tcBorders>
              <w:right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4280" w:type="dxa"/>
            <w:vAlign w:val="bottom"/>
            <w:tcBorders>
              <w:right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provided, however, that the foregoing shall not limit the</w:t>
            </w:r>
          </w:p>
        </w:tc>
        <w:tc>
          <w:tcPr>
            <w:tcW w:w="740" w:type="dxa"/>
            <w:vAlign w:val="bottom"/>
          </w:tcPr>
          <w:p>
            <w:pPr>
              <w:spacing w:after="0"/>
              <w:rPr>
                <w:sz w:val="13"/>
                <w:szCs w:val="13"/>
                <w:color w:val="auto"/>
              </w:rPr>
            </w:pPr>
          </w:p>
        </w:tc>
      </w:tr>
      <w:tr>
        <w:trPr>
          <w:trHeight w:val="155"/>
        </w:trPr>
        <w:tc>
          <w:tcPr>
            <w:tcW w:w="800" w:type="dxa"/>
            <w:vAlign w:val="bottom"/>
            <w:tcBorders>
              <w:right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4280" w:type="dxa"/>
            <w:vAlign w:val="bottom"/>
            <w:tcBorders>
              <w:right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Company’s right to redeem the New Notes pursuant to the terms</w:t>
            </w:r>
          </w:p>
        </w:tc>
        <w:tc>
          <w:tcPr>
            <w:tcW w:w="740" w:type="dxa"/>
            <w:vAlign w:val="bottom"/>
          </w:tcPr>
          <w:p>
            <w:pPr>
              <w:spacing w:after="0"/>
              <w:rPr>
                <w:sz w:val="13"/>
                <w:szCs w:val="13"/>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of the New Notes and the indenture, including upon the</w:t>
            </w:r>
          </w:p>
        </w:tc>
        <w:tc>
          <w:tcPr>
            <w:tcW w:w="740" w:type="dxa"/>
            <w:vAlign w:val="bottom"/>
          </w:tcPr>
          <w:p>
            <w:pPr>
              <w:spacing w:after="0"/>
              <w:rPr>
                <w:sz w:val="14"/>
                <w:szCs w:val="14"/>
                <w:color w:val="auto"/>
              </w:rPr>
            </w:pPr>
          </w:p>
        </w:tc>
      </w:tr>
      <w:tr>
        <w:trPr>
          <w:trHeight w:val="178"/>
        </w:trPr>
        <w:tc>
          <w:tcPr>
            <w:tcW w:w="800" w:type="dxa"/>
            <w:vAlign w:val="bottom"/>
            <w:tcBorders>
              <w:right w:val="single" w:sz="8" w:color="auto"/>
            </w:tcBorders>
          </w:tcPr>
          <w:p>
            <w:pPr>
              <w:spacing w:after="0"/>
              <w:rPr>
                <w:sz w:val="15"/>
                <w:szCs w:val="15"/>
                <w:color w:val="auto"/>
              </w:rPr>
            </w:pPr>
          </w:p>
        </w:tc>
        <w:tc>
          <w:tcPr>
            <w:tcW w:w="2340" w:type="dxa"/>
            <w:vAlign w:val="bottom"/>
          </w:tcPr>
          <w:p>
            <w:pPr>
              <w:spacing w:after="0"/>
              <w:rPr>
                <w:sz w:val="15"/>
                <w:szCs w:val="15"/>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occurrence of a Tier 2 Capital Event.</w:t>
            </w:r>
          </w:p>
        </w:tc>
        <w:tc>
          <w:tcPr>
            <w:tcW w:w="740" w:type="dxa"/>
            <w:vAlign w:val="bottom"/>
          </w:tcPr>
          <w:p>
            <w:pPr>
              <w:spacing w:after="0"/>
              <w:rPr>
                <w:sz w:val="15"/>
                <w:szCs w:val="15"/>
                <w:color w:val="auto"/>
              </w:rPr>
            </w:pPr>
          </w:p>
        </w:tc>
      </w:tr>
      <w:tr>
        <w:trPr>
          <w:trHeight w:val="244"/>
        </w:trPr>
        <w:tc>
          <w:tcPr>
            <w:tcW w:w="800" w:type="dxa"/>
            <w:vAlign w:val="bottom"/>
            <w:tcBorders>
              <w:right w:val="single" w:sz="8" w:color="auto"/>
            </w:tcBorders>
          </w:tcPr>
          <w:p>
            <w:pPr>
              <w:spacing w:after="0"/>
              <w:rPr>
                <w:sz w:val="21"/>
                <w:szCs w:val="21"/>
                <w:color w:val="auto"/>
              </w:rPr>
            </w:pPr>
          </w:p>
        </w:tc>
        <w:tc>
          <w:tcPr>
            <w:tcW w:w="2340" w:type="dxa"/>
            <w:vAlign w:val="bottom"/>
          </w:tcPr>
          <w:p>
            <w:pPr>
              <w:spacing w:after="0"/>
              <w:rPr>
                <w:sz w:val="21"/>
                <w:szCs w:val="21"/>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The New Notes are not subject to repayment at the option of the</w:t>
            </w:r>
          </w:p>
        </w:tc>
        <w:tc>
          <w:tcPr>
            <w:tcW w:w="740" w:type="dxa"/>
            <w:vAlign w:val="bottom"/>
          </w:tcPr>
          <w:p>
            <w:pPr>
              <w:spacing w:after="0"/>
              <w:rPr>
                <w:sz w:val="21"/>
                <w:szCs w:val="21"/>
                <w:color w:val="auto"/>
              </w:rPr>
            </w:pPr>
          </w:p>
        </w:tc>
      </w:tr>
      <w:tr>
        <w:trPr>
          <w:trHeight w:val="178"/>
        </w:trPr>
        <w:tc>
          <w:tcPr>
            <w:tcW w:w="800" w:type="dxa"/>
            <w:vAlign w:val="bottom"/>
            <w:tcBorders>
              <w:right w:val="single" w:sz="8" w:color="auto"/>
            </w:tcBorders>
          </w:tcPr>
          <w:p>
            <w:pPr>
              <w:spacing w:after="0"/>
              <w:rPr>
                <w:sz w:val="15"/>
                <w:szCs w:val="15"/>
                <w:color w:val="auto"/>
              </w:rPr>
            </w:pPr>
          </w:p>
        </w:tc>
        <w:tc>
          <w:tcPr>
            <w:tcW w:w="2340" w:type="dxa"/>
            <w:vAlign w:val="bottom"/>
          </w:tcPr>
          <w:p>
            <w:pPr>
              <w:spacing w:after="0"/>
              <w:rPr>
                <w:sz w:val="15"/>
                <w:szCs w:val="15"/>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holders and there is no sinking fund for the New Notes.</w:t>
            </w:r>
          </w:p>
        </w:tc>
        <w:tc>
          <w:tcPr>
            <w:tcW w:w="740" w:type="dxa"/>
            <w:vAlign w:val="bottom"/>
          </w:tcPr>
          <w:p>
            <w:pPr>
              <w:spacing w:after="0"/>
              <w:rPr>
                <w:sz w:val="15"/>
                <w:szCs w:val="15"/>
                <w:color w:val="auto"/>
              </w:rPr>
            </w:pPr>
          </w:p>
        </w:tc>
      </w:tr>
      <w:tr>
        <w:trPr>
          <w:trHeight w:val="223"/>
        </w:trPr>
        <w:tc>
          <w:tcPr>
            <w:tcW w:w="800" w:type="dxa"/>
            <w:vAlign w:val="bottom"/>
            <w:tcBorders>
              <w:right w:val="single" w:sz="8" w:color="auto"/>
            </w:tcBorders>
          </w:tcPr>
          <w:p>
            <w:pPr>
              <w:spacing w:after="0"/>
              <w:rPr>
                <w:sz w:val="19"/>
                <w:szCs w:val="19"/>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Limitations On Indebtedness</w:t>
            </w: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The terms of the New Notes do not limit the amount of additional</w:t>
            </w:r>
          </w:p>
        </w:tc>
        <w:tc>
          <w:tcPr>
            <w:tcW w:w="740" w:type="dxa"/>
            <w:vAlign w:val="bottom"/>
          </w:tcPr>
          <w:p>
            <w:pPr>
              <w:spacing w:after="0"/>
              <w:rPr>
                <w:sz w:val="19"/>
                <w:szCs w:val="19"/>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indebtedness that the Company, the Bank or any of our respective</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subsidiaries may incur or the amount of other obligations ranking</w:t>
            </w:r>
          </w:p>
        </w:tc>
        <w:tc>
          <w:tcPr>
            <w:tcW w:w="740" w:type="dxa"/>
            <w:vAlign w:val="bottom"/>
          </w:tcPr>
          <w:p>
            <w:pPr>
              <w:spacing w:after="0"/>
              <w:rPr>
                <w:sz w:val="14"/>
                <w:szCs w:val="14"/>
                <w:color w:val="auto"/>
              </w:rPr>
            </w:pPr>
          </w:p>
        </w:tc>
      </w:tr>
      <w:tr>
        <w:trPr>
          <w:trHeight w:val="178"/>
        </w:trPr>
        <w:tc>
          <w:tcPr>
            <w:tcW w:w="800" w:type="dxa"/>
            <w:vAlign w:val="bottom"/>
            <w:tcBorders>
              <w:right w:val="single" w:sz="8" w:color="auto"/>
            </w:tcBorders>
          </w:tcPr>
          <w:p>
            <w:pPr>
              <w:spacing w:after="0"/>
              <w:rPr>
                <w:sz w:val="15"/>
                <w:szCs w:val="15"/>
                <w:color w:val="auto"/>
              </w:rPr>
            </w:pPr>
          </w:p>
        </w:tc>
        <w:tc>
          <w:tcPr>
            <w:tcW w:w="2340" w:type="dxa"/>
            <w:vAlign w:val="bottom"/>
          </w:tcPr>
          <w:p>
            <w:pPr>
              <w:spacing w:after="0"/>
              <w:rPr>
                <w:sz w:val="15"/>
                <w:szCs w:val="15"/>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senior or equal to the New Notes that we may incur.</w:t>
            </w:r>
          </w:p>
        </w:tc>
        <w:tc>
          <w:tcPr>
            <w:tcW w:w="740" w:type="dxa"/>
            <w:vAlign w:val="bottom"/>
          </w:tcPr>
          <w:p>
            <w:pPr>
              <w:spacing w:after="0"/>
              <w:rPr>
                <w:sz w:val="15"/>
                <w:szCs w:val="15"/>
                <w:color w:val="auto"/>
              </w:rPr>
            </w:pPr>
          </w:p>
        </w:tc>
      </w:tr>
      <w:tr>
        <w:trPr>
          <w:trHeight w:val="234"/>
        </w:trPr>
        <w:tc>
          <w:tcPr>
            <w:tcW w:w="800" w:type="dxa"/>
            <w:vAlign w:val="bottom"/>
            <w:tcBorders>
              <w:right w:val="single" w:sz="8" w:color="auto"/>
            </w:tcBorders>
          </w:tcPr>
          <w:p>
            <w:pPr>
              <w:spacing w:after="0"/>
              <w:rPr>
                <w:sz w:val="20"/>
                <w:szCs w:val="20"/>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Limited Indenture Covenants</w:t>
            </w: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The indenture governing the New Notes contains no financial</w:t>
            </w:r>
          </w:p>
        </w:tc>
        <w:tc>
          <w:tcPr>
            <w:tcW w:w="740" w:type="dxa"/>
            <w:vAlign w:val="bottom"/>
          </w:tcPr>
          <w:p>
            <w:pPr>
              <w:spacing w:after="0"/>
              <w:rPr>
                <w:sz w:val="20"/>
                <w:szCs w:val="20"/>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covenants requiring us to achieve or maintain any minimum</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financial results relating to our financial position or results of</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operations or meet or exceed any financial ratios as a general</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matter or in order to incur additional indebtedness or obligations</w:t>
            </w:r>
          </w:p>
        </w:tc>
        <w:tc>
          <w:tcPr>
            <w:tcW w:w="740" w:type="dxa"/>
            <w:vAlign w:val="bottom"/>
          </w:tcPr>
          <w:p>
            <w:pPr>
              <w:spacing w:after="0"/>
              <w:rPr>
                <w:sz w:val="14"/>
                <w:szCs w:val="14"/>
                <w:color w:val="auto"/>
              </w:rPr>
            </w:pPr>
          </w:p>
        </w:tc>
      </w:tr>
      <w:tr>
        <w:trPr>
          <w:trHeight w:val="178"/>
        </w:trPr>
        <w:tc>
          <w:tcPr>
            <w:tcW w:w="800" w:type="dxa"/>
            <w:vAlign w:val="bottom"/>
            <w:tcBorders>
              <w:right w:val="single" w:sz="8" w:color="auto"/>
            </w:tcBorders>
          </w:tcPr>
          <w:p>
            <w:pPr>
              <w:spacing w:after="0"/>
              <w:rPr>
                <w:sz w:val="15"/>
                <w:szCs w:val="15"/>
                <w:color w:val="auto"/>
              </w:rPr>
            </w:pPr>
          </w:p>
        </w:tc>
        <w:tc>
          <w:tcPr>
            <w:tcW w:w="2340" w:type="dxa"/>
            <w:vAlign w:val="bottom"/>
          </w:tcPr>
          <w:p>
            <w:pPr>
              <w:spacing w:after="0"/>
              <w:rPr>
                <w:sz w:val="15"/>
                <w:szCs w:val="15"/>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or to maintain any reserves.</w:t>
            </w:r>
          </w:p>
        </w:tc>
        <w:tc>
          <w:tcPr>
            <w:tcW w:w="740" w:type="dxa"/>
            <w:vAlign w:val="bottom"/>
          </w:tcPr>
          <w:p>
            <w:pPr>
              <w:spacing w:after="0"/>
              <w:rPr>
                <w:sz w:val="15"/>
                <w:szCs w:val="15"/>
                <w:color w:val="auto"/>
              </w:rPr>
            </w:pPr>
          </w:p>
        </w:tc>
      </w:tr>
      <w:tr>
        <w:trPr>
          <w:trHeight w:val="265"/>
        </w:trPr>
        <w:tc>
          <w:tcPr>
            <w:tcW w:w="800" w:type="dxa"/>
            <w:vAlign w:val="bottom"/>
            <w:tcBorders>
              <w:right w:val="single" w:sz="8" w:color="auto"/>
            </w:tcBorders>
          </w:tcPr>
          <w:p>
            <w:pPr>
              <w:spacing w:after="0"/>
              <w:rPr>
                <w:sz w:val="23"/>
                <w:szCs w:val="23"/>
                <w:color w:val="auto"/>
              </w:rPr>
            </w:pPr>
          </w:p>
        </w:tc>
        <w:tc>
          <w:tcPr>
            <w:tcW w:w="2340" w:type="dxa"/>
            <w:vAlign w:val="bottom"/>
          </w:tcPr>
          <w:p>
            <w:pPr>
              <w:spacing w:after="0"/>
              <w:rPr>
                <w:sz w:val="23"/>
                <w:szCs w:val="23"/>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Moreover, neither the indenture nor the New Notes contain any</w:t>
            </w:r>
          </w:p>
        </w:tc>
        <w:tc>
          <w:tcPr>
            <w:tcW w:w="740" w:type="dxa"/>
            <w:vAlign w:val="bottom"/>
          </w:tcPr>
          <w:p>
            <w:pPr>
              <w:spacing w:after="0"/>
              <w:rPr>
                <w:sz w:val="23"/>
                <w:szCs w:val="23"/>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covenants prohibiting us from, or limiting our right to, grant liens</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on our assets to secure our indebtedness or other obligations that</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are senior in right of payment to the New Notes, to repurchase</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our stock or other securities, including any of the New Notes, or</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to pay dividends or make other distributions to our shareholders</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(except, subject to certain limited exceptions, in the case of:</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dividends or other distributions; redemptions, purchases,</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acquisitions or liquidation payments with respect to our capital</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stock; and repayments, repurchases or redemptions of any</w:t>
            </w:r>
          </w:p>
        </w:tc>
        <w:tc>
          <w:tcPr>
            <w:tcW w:w="740" w:type="dxa"/>
            <w:vAlign w:val="bottom"/>
          </w:tcPr>
          <w:p>
            <w:pPr>
              <w:spacing w:after="0"/>
              <w:rPr>
                <w:sz w:val="14"/>
                <w:szCs w:val="14"/>
                <w:color w:val="auto"/>
              </w:rPr>
            </w:pPr>
          </w:p>
        </w:tc>
      </w:tr>
      <w:tr>
        <w:trPr>
          <w:trHeight w:val="165"/>
        </w:trPr>
        <w:tc>
          <w:tcPr>
            <w:tcW w:w="800" w:type="dxa"/>
            <w:vAlign w:val="bottom"/>
            <w:tcBorders>
              <w:righ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indebtedness that ranks equal with or junior to the New Notes, in</w:t>
            </w:r>
          </w:p>
        </w:tc>
        <w:tc>
          <w:tcPr>
            <w:tcW w:w="740" w:type="dxa"/>
            <w:vAlign w:val="bottom"/>
          </w:tcPr>
          <w:p>
            <w:pPr>
              <w:spacing w:after="0"/>
              <w:rPr>
                <w:sz w:val="14"/>
                <w:szCs w:val="14"/>
                <w:color w:val="auto"/>
              </w:rPr>
            </w:pPr>
          </w:p>
        </w:tc>
      </w:tr>
      <w:tr>
        <w:trPr>
          <w:trHeight w:val="178"/>
        </w:trPr>
        <w:tc>
          <w:tcPr>
            <w:tcW w:w="800" w:type="dxa"/>
            <w:vAlign w:val="bottom"/>
            <w:tcBorders>
              <w:right w:val="single" w:sz="8" w:color="auto"/>
            </w:tcBorders>
          </w:tcPr>
          <w:p>
            <w:pPr>
              <w:spacing w:after="0"/>
              <w:rPr>
                <w:sz w:val="15"/>
                <w:szCs w:val="15"/>
                <w:color w:val="auto"/>
              </w:rPr>
            </w:pPr>
          </w:p>
        </w:tc>
        <w:tc>
          <w:tcPr>
            <w:tcW w:w="2340" w:type="dxa"/>
            <w:vAlign w:val="bottom"/>
          </w:tcPr>
          <w:p>
            <w:pPr>
              <w:spacing w:after="0"/>
              <w:rPr>
                <w:sz w:val="15"/>
                <w:szCs w:val="15"/>
                <w:color w:val="auto"/>
              </w:rPr>
            </w:pPr>
          </w:p>
        </w:tc>
        <w:tc>
          <w:tcPr>
            <w:tcW w:w="42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each case, upon an event of default).</w:t>
            </w:r>
          </w:p>
        </w:tc>
        <w:tc>
          <w:tcPr>
            <w:tcW w:w="740" w:type="dxa"/>
            <w:vAlign w:val="bottom"/>
          </w:tcPr>
          <w:p>
            <w:pPr>
              <w:spacing w:after="0"/>
              <w:rPr>
                <w:sz w:val="15"/>
                <w:szCs w:val="15"/>
                <w:color w:val="auto"/>
              </w:rPr>
            </w:pPr>
          </w:p>
        </w:tc>
      </w:tr>
      <w:tr>
        <w:trPr>
          <w:trHeight w:val="283"/>
        </w:trPr>
        <w:tc>
          <w:tcPr>
            <w:tcW w:w="800" w:type="dxa"/>
            <w:vAlign w:val="bottom"/>
            <w:tcBorders>
              <w:right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280" w:type="dxa"/>
            <w:vAlign w:val="bottom"/>
            <w:tcBorders>
              <w:bottom w:val="single" w:sz="8" w:color="auto"/>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23"/>
        </w:trPr>
        <w:tc>
          <w:tcPr>
            <w:tcW w:w="8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7</w:t>
            </w:r>
          </w:p>
        </w:tc>
        <w:tc>
          <w:tcPr>
            <w:tcW w:w="740" w:type="dxa"/>
            <w:vAlign w:val="bottom"/>
          </w:tcPr>
          <w:p>
            <w:pPr>
              <w:spacing w:after="0"/>
              <w:rPr>
                <w:sz w:val="19"/>
                <w:szCs w:val="19"/>
                <w:color w:val="auto"/>
              </w:rPr>
            </w:pPr>
          </w:p>
        </w:tc>
      </w:tr>
      <w:tr>
        <w:trPr>
          <w:trHeight w:val="309"/>
        </w:trPr>
        <w:tc>
          <w:tcPr>
            <w:tcW w:w="8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5434965</wp:posOffset>
            </wp:positionH>
            <wp:positionV relativeFrom="paragraph">
              <wp:posOffset>-25400</wp:posOffset>
            </wp:positionV>
            <wp:extent cx="3175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-25400</wp:posOffset>
            </wp:positionV>
            <wp:extent cx="3175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4" w:name="page15"/>
    <w:bookmarkEnd w:id="14"/>
    <w:p>
      <w:pPr>
        <w:ind w:left="42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254000</wp:posOffset>
            </wp:positionV>
            <wp:extent cx="4206875" cy="60782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4206875" cy="607822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Listing; No Public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39"/>
        <w:spacing w:after="0" w:line="253" w:lineRule="auto"/>
        <w:rPr>
          <w:sz w:val="20"/>
          <w:szCs w:val="20"/>
          <w:color w:val="auto"/>
        </w:rPr>
      </w:pPr>
      <w:r>
        <w:rPr>
          <w:rFonts w:ascii="Times New Roman" w:cs="Times New Roman" w:eastAsia="Times New Roman" w:hAnsi="Times New Roman"/>
          <w:sz w:val="14"/>
          <w:szCs w:val="14"/>
          <w:color w:val="auto"/>
        </w:rPr>
        <w:t>The New Notes are a new issue of securities with no established trading market and we do not expect any public market to develop in the future for the New Notes. We do not intend to list the New Notes on any national securities exchange or quotation system.</w:t>
      </w:r>
    </w:p>
    <w:p>
      <w:pPr>
        <w:spacing w:after="0" w:line="200" w:lineRule="exact"/>
        <w:rPr>
          <w:sz w:val="20"/>
          <w:szCs w:val="20"/>
          <w:color w:val="auto"/>
        </w:rPr>
      </w:pPr>
    </w:p>
    <w:p>
      <w:pPr>
        <w:sectPr>
          <w:pgSz w:w="11900" w:h="16838" w:orient="portrait"/>
          <w:cols w:equalWidth="0" w:num="2">
            <w:col w:w="3140" w:space="720"/>
            <w:col w:w="5159"/>
          </w:cols>
          <w:pgMar w:left="1440" w:top="108" w:right="1440" w:bottom="1440" w:gutter="0" w:footer="0" w:header="0"/>
          <w:type w:val="continuous"/>
        </w:sectPr>
      </w:pPr>
    </w:p>
    <w:p>
      <w:pPr>
        <w:spacing w:after="0" w:line="2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1499"/>
        <w:spacing w:after="0" w:line="252" w:lineRule="auto"/>
        <w:rPr>
          <w:sz w:val="20"/>
          <w:szCs w:val="20"/>
          <w:color w:val="auto"/>
        </w:rPr>
      </w:pPr>
      <w:r>
        <w:rPr>
          <w:rFonts w:ascii="Times New Roman" w:cs="Times New Roman" w:eastAsia="Times New Roman" w:hAnsi="Times New Roman"/>
          <w:sz w:val="14"/>
          <w:szCs w:val="14"/>
          <w:color w:val="auto"/>
        </w:rPr>
        <w:t>See “Risk Factors” beginning on page 9 of this prospectus, as well as in our reports filed with the SEC, and other information included or incorporated by reference in this prospectus for a discussion of factors you should consider carefully before deciding to participate in the exchange offer.</w:t>
      </w:r>
    </w:p>
    <w:p>
      <w:pPr>
        <w:spacing w:after="0" w:line="62" w:lineRule="exact"/>
        <w:rPr>
          <w:sz w:val="20"/>
          <w:szCs w:val="20"/>
          <w:color w:val="auto"/>
        </w:rPr>
      </w:pPr>
    </w:p>
    <w:p>
      <w:pPr>
        <w:sectPr>
          <w:pgSz w:w="11900" w:h="16838" w:orient="portrait"/>
          <w:cols w:equalWidth="0" w:num="2">
            <w:col w:w="3140" w:space="720"/>
            <w:col w:w="5159"/>
          </w:cols>
          <w:pgMar w:left="1440" w:top="108" w:right="1440"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4"/>
          <w:szCs w:val="14"/>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UMB Bank, N.A.</w:t>
      </w:r>
    </w:p>
    <w:p>
      <w:pPr>
        <w:spacing w:after="0" w:line="86" w:lineRule="exact"/>
        <w:rPr>
          <w:sz w:val="20"/>
          <w:szCs w:val="20"/>
          <w:color w:val="auto"/>
        </w:rPr>
      </w:pPr>
    </w:p>
    <w:p>
      <w:pPr>
        <w:sectPr>
          <w:pgSz w:w="11900" w:h="16838" w:orient="portrait"/>
          <w:cols w:equalWidth="0" w:num="2">
            <w:col w:w="3140" w:space="720"/>
            <w:col w:w="5159"/>
          </w:cols>
          <w:pgMar w:left="1440" w:top="108" w:right="1440"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4"/>
          <w:szCs w:val="14"/>
          <w:color w:val="auto"/>
        </w:rPr>
        <w:t>Governing Law</w:t>
      </w:r>
    </w:p>
    <w:p>
      <w:pPr>
        <w:spacing w:after="0" w:line="20" w:lineRule="exact"/>
        <w:rPr>
          <w:sz w:val="20"/>
          <w:szCs w:val="20"/>
          <w:color w:val="auto"/>
        </w:rPr>
      </w:pPr>
      <w:r>
        <w:rPr>
          <w:sz w:val="20"/>
          <w:szCs w:val="20"/>
          <w:color w:val="auto"/>
        </w:rPr>
        <w:br w:type="column"/>
      </w:r>
    </w:p>
    <w:p>
      <w:pPr>
        <w:ind w:right="1459"/>
        <w:spacing w:after="0" w:line="271" w:lineRule="auto"/>
        <w:rPr>
          <w:sz w:val="20"/>
          <w:szCs w:val="20"/>
          <w:color w:val="auto"/>
        </w:rPr>
      </w:pPr>
      <w:r>
        <w:rPr>
          <w:rFonts w:ascii="Times New Roman" w:cs="Times New Roman" w:eastAsia="Times New Roman" w:hAnsi="Times New Roman"/>
          <w:sz w:val="14"/>
          <w:szCs w:val="14"/>
          <w:color w:val="auto"/>
        </w:rPr>
        <w:t>The New Notes and the indenture will be governed by and construed in accordance with the laws of the State of New York.</w:t>
      </w:r>
    </w:p>
    <w:p>
      <w:pPr>
        <w:spacing w:after="0" w:line="200" w:lineRule="exact"/>
        <w:rPr>
          <w:sz w:val="20"/>
          <w:szCs w:val="20"/>
          <w:color w:val="auto"/>
        </w:rPr>
      </w:pPr>
    </w:p>
    <w:p>
      <w:pPr>
        <w:sectPr>
          <w:pgSz w:w="11900" w:h="16838" w:orient="portrait"/>
          <w:cols w:equalWidth="0" w:num="2">
            <w:col w:w="3140" w:space="720"/>
            <w:col w:w="5159"/>
          </w:cols>
          <w:pgMar w:left="1440" w:top="10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209550</wp:posOffset>
            </wp:positionV>
            <wp:extent cx="52139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15" w:name="page16"/>
    <w:bookmarkEnd w:id="15"/>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17" w:lineRule="exact"/>
        <w:rPr>
          <w:sz w:val="20"/>
          <w:szCs w:val="20"/>
          <w:color w:val="auto"/>
        </w:rPr>
      </w:pPr>
    </w:p>
    <w:p>
      <w:pPr>
        <w:ind w:left="1380" w:right="1399" w:firstLine="275"/>
        <w:spacing w:after="0" w:line="238" w:lineRule="auto"/>
        <w:rPr>
          <w:rFonts w:ascii="Times New Roman" w:cs="Times New Roman" w:eastAsia="Times New Roman" w:hAnsi="Times New Roman"/>
          <w:sz w:val="14"/>
          <w:szCs w:val="14"/>
          <w:i w:val="1"/>
          <w:iCs w:val="1"/>
          <w:color w:val="000000"/>
        </w:rPr>
      </w:pPr>
      <w:r>
        <w:rPr>
          <w:rFonts w:ascii="Times New Roman" w:cs="Times New Roman" w:eastAsia="Times New Roman" w:hAnsi="Times New Roman"/>
          <w:sz w:val="14"/>
          <w:szCs w:val="14"/>
          <w:i w:val="1"/>
          <w:iCs w:val="1"/>
          <w:color w:val="auto"/>
        </w:rPr>
        <w:t xml:space="preserve">In consultation with your own advisors, you should carefully consider, among other matters, the factors set forth below as well as the other information included or incorporated by reference in this prospectus before deciding whether to participate in the exchange offer. In particular, you should carefully consider, </w:t>
      </w:r>
      <w:hyperlink r:id="rId16">
        <w:r>
          <w:rPr>
            <w:rFonts w:ascii="Times New Roman" w:cs="Times New Roman" w:eastAsia="Times New Roman" w:hAnsi="Times New Roman"/>
            <w:sz w:val="14"/>
            <w:szCs w:val="14"/>
            <w:i w:val="1"/>
            <w:iCs w:val="1"/>
            <w:color w:val="auto"/>
          </w:rPr>
          <w:t xml:space="preserve">among other things, the factors described under the caption “Risk Factors” in our </w:t>
        </w:r>
        <w:r>
          <w:rPr>
            <w:rFonts w:ascii="Times New Roman" w:cs="Times New Roman" w:eastAsia="Times New Roman" w:hAnsi="Times New Roman"/>
            <w:sz w:val="14"/>
            <w:szCs w:val="14"/>
            <w:i w:val="1"/>
            <w:iCs w:val="1"/>
            <w:u w:val="single" w:color="auto"/>
            <w:color w:val="0000EE"/>
          </w:rPr>
          <w:t>Annual Report on</w:t>
        </w:r>
      </w:hyperlink>
      <w:r>
        <w:rPr>
          <w:rFonts w:ascii="Times New Roman" w:cs="Times New Roman" w:eastAsia="Times New Roman" w:hAnsi="Times New Roman"/>
          <w:sz w:val="14"/>
          <w:szCs w:val="14"/>
          <w:i w:val="1"/>
          <w:iCs w:val="1"/>
          <w:color w:val="auto"/>
        </w:rPr>
        <w:t xml:space="preserve"> </w:t>
      </w:r>
      <w:hyperlink r:id="rId16">
        <w:r>
          <w:rPr>
            <w:rFonts w:ascii="Times New Roman" w:cs="Times New Roman" w:eastAsia="Times New Roman" w:hAnsi="Times New Roman"/>
            <w:sz w:val="14"/>
            <w:szCs w:val="14"/>
            <w:i w:val="1"/>
            <w:iCs w:val="1"/>
            <w:u w:val="single" w:color="auto"/>
            <w:color w:val="0000EE"/>
          </w:rPr>
          <w:t>Form 10-K for the fiscal year ended December 31, 2025</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 xml:space="preserve">and the factors described under the caption </w:t>
        </w:r>
      </w:hyperlink>
      <w:r>
        <w:rPr>
          <w:rFonts w:ascii="Times New Roman" w:cs="Times New Roman" w:eastAsia="Times New Roman" w:hAnsi="Times New Roman"/>
          <w:sz w:val="14"/>
          <w:szCs w:val="14"/>
          <w:i w:val="1"/>
          <w:iCs w:val="1"/>
          <w:color w:val="0000EE"/>
        </w:rPr>
        <w:t xml:space="preserve">“Risk </w:t>
      </w:r>
      <w:r>
        <w:rPr>
          <w:rFonts w:ascii="Times New Roman" w:cs="Times New Roman" w:eastAsia="Times New Roman" w:hAnsi="Times New Roman"/>
          <w:sz w:val="14"/>
          <w:szCs w:val="14"/>
          <w:i w:val="1"/>
          <w:iCs w:val="1"/>
          <w:color w:val="000000"/>
        </w:rPr>
        <w:t xml:space="preserve">Factors” in our </w:t>
      </w:r>
      <w:hyperlink r:id="rId17">
        <w:r>
          <w:rPr>
            <w:rFonts w:ascii="Times New Roman" w:cs="Times New Roman" w:eastAsia="Times New Roman" w:hAnsi="Times New Roman"/>
            <w:sz w:val="14"/>
            <w:szCs w:val="14"/>
            <w:i w:val="1"/>
            <w:iCs w:val="1"/>
            <w:u w:val="single" w:color="auto"/>
            <w:color w:val="0000EE"/>
          </w:rPr>
          <w:t>Quarterly Report on Form 10-Q for the fiscal quarter ended March 31, 2026</w:t>
        </w:r>
      </w:hyperlink>
      <w:r>
        <w:rPr>
          <w:rFonts w:ascii="Times New Roman" w:cs="Times New Roman" w:eastAsia="Times New Roman" w:hAnsi="Times New Roman"/>
          <w:sz w:val="14"/>
          <w:szCs w:val="14"/>
          <w:i w:val="1"/>
          <w:iCs w:val="1"/>
          <w:color w:val="000000"/>
        </w:rPr>
        <w:t>, each of which is incorporated herein by reference, as updated by our subsequently filed Quarterly Reports on Form 10-Q and Current Reports on Form 8-K. If any of the risks contained in or incorporated by reference into this prospectus develop into actual events, our business, financial condition, liquidity, results of operations and prospects could be materially and adversely affected, the value of the New Notes could decline, our ability to repay the New Notes may be impaired, and you may lose all or part of your investment. Some statements in this prospectus, including statements in the following risk factors, constitute forward-looking statements. See the “Special Note Regarding Forward-Looking Statements” section in this prospectus.</w:t>
      </w:r>
    </w:p>
    <w:p>
      <w:pPr>
        <w:spacing w:after="0" w:line="130" w:lineRule="exact"/>
        <w:rPr>
          <w:rFonts w:ascii="Times New Roman" w:cs="Times New Roman" w:eastAsia="Times New Roman" w:hAnsi="Times New Roman"/>
          <w:sz w:val="14"/>
          <w:szCs w:val="14"/>
          <w:i w:val="1"/>
          <w:iCs w:val="1"/>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121" w:lineRule="exact"/>
        <w:rPr>
          <w:rFonts w:ascii="Times New Roman" w:cs="Times New Roman" w:eastAsia="Times New Roman" w:hAnsi="Times New Roman"/>
          <w:sz w:val="14"/>
          <w:szCs w:val="14"/>
          <w:i w:val="1"/>
          <w:iCs w:val="1"/>
          <w:color w:val="auto"/>
        </w:rPr>
      </w:pPr>
    </w:p>
    <w:p>
      <w:pPr>
        <w:ind w:left="1380" w:right="1579" w:firstLine="275"/>
        <w:spacing w:after="0" w:line="244" w:lineRule="auto"/>
        <w:rPr>
          <w:sz w:val="20"/>
          <w:szCs w:val="20"/>
          <w:color w:val="auto"/>
        </w:rPr>
      </w:pPr>
      <w:r>
        <w:rPr>
          <w:rFonts w:ascii="Times New Roman" w:cs="Times New Roman" w:eastAsia="Times New Roman" w:hAnsi="Times New Roman"/>
          <w:sz w:val="14"/>
          <w:szCs w:val="14"/>
          <w:color w:val="auto"/>
        </w:rPr>
        <w:t>For a discussion of certain risks applicable to our business and operations, please refer to the section entitled “Risk Factors” in Part I, Item 1A of our Annual Report on Form 10-K for the fiscal year ended December 31, 2025 and the section entitled “Risk Factors” in Part II, Item 1A of our Quarterly Report on Form 10-Q for the fiscal quarter ended March 31, 2026.</w:t>
      </w:r>
    </w:p>
    <w:p>
      <w:pPr>
        <w:spacing w:after="0" w:line="124" w:lineRule="exact"/>
        <w:rPr>
          <w:rFonts w:ascii="Times New Roman" w:cs="Times New Roman" w:eastAsia="Times New Roman" w:hAnsi="Times New Roman"/>
          <w:sz w:val="14"/>
          <w:szCs w:val="14"/>
          <w:i w:val="1"/>
          <w:iCs w:val="1"/>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the Exchange Offer</w:t>
      </w:r>
    </w:p>
    <w:p>
      <w:pPr>
        <w:spacing w:after="0" w:line="86" w:lineRule="exact"/>
        <w:rPr>
          <w:rFonts w:ascii="Times New Roman" w:cs="Times New Roman" w:eastAsia="Times New Roman" w:hAnsi="Times New Roman"/>
          <w:sz w:val="14"/>
          <w:szCs w:val="14"/>
          <w:i w:val="1"/>
          <w:iCs w:val="1"/>
          <w:color w:val="auto"/>
        </w:rPr>
      </w:pPr>
    </w:p>
    <w:p>
      <w:pPr>
        <w:ind w:left="1380" w:right="15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you do not properly tender your Old Notes, you will continue to hold unregistered Old Notes and your ability to transfer Old Notes will be adversely affected.</w:t>
      </w:r>
    </w:p>
    <w:p>
      <w:pPr>
        <w:spacing w:after="0" w:line="65" w:lineRule="exact"/>
        <w:rPr>
          <w:rFonts w:ascii="Times New Roman" w:cs="Times New Roman" w:eastAsia="Times New Roman" w:hAnsi="Times New Roman"/>
          <w:sz w:val="14"/>
          <w:szCs w:val="14"/>
          <w:i w:val="1"/>
          <w:iCs w:val="1"/>
          <w:color w:val="auto"/>
        </w:rPr>
      </w:pPr>
    </w:p>
    <w:p>
      <w:pPr>
        <w:ind w:left="1380" w:right="1579" w:firstLine="275"/>
        <w:spacing w:after="0"/>
        <w:rPr>
          <w:sz w:val="20"/>
          <w:szCs w:val="20"/>
          <w:color w:val="auto"/>
        </w:rPr>
      </w:pPr>
      <w:r>
        <w:rPr>
          <w:rFonts w:ascii="Times New Roman" w:cs="Times New Roman" w:eastAsia="Times New Roman" w:hAnsi="Times New Roman"/>
          <w:sz w:val="14"/>
          <w:szCs w:val="14"/>
          <w:color w:val="auto"/>
        </w:rPr>
        <w:t>We will only issue New Notes in exchange for Old Notes that you timely and properly tender. Therefore, you should allow sufficient time to ensure timely tender of the Old Notes and you should carefully follow the instructions on how to tender your Old Notes. Neither we nor the exchange agent are required to tell you of any defects or irregularities with respect to your tender of Old Notes. See “The Exchange Offer — Procedures for Tendering Old Notes.”</w:t>
      </w:r>
    </w:p>
    <w:p>
      <w:pPr>
        <w:spacing w:after="0" w:line="92" w:lineRule="exact"/>
        <w:rPr>
          <w:rFonts w:ascii="Times New Roman" w:cs="Times New Roman" w:eastAsia="Times New Roman" w:hAnsi="Times New Roman"/>
          <w:sz w:val="14"/>
          <w:szCs w:val="14"/>
          <w:i w:val="1"/>
          <w:iCs w:val="1"/>
          <w:color w:val="auto"/>
        </w:rPr>
      </w:pPr>
    </w:p>
    <w:p>
      <w:pPr>
        <w:ind w:left="1380" w:right="1499" w:firstLine="275"/>
        <w:spacing w:after="0"/>
        <w:rPr>
          <w:sz w:val="20"/>
          <w:szCs w:val="20"/>
          <w:color w:val="auto"/>
        </w:rPr>
      </w:pPr>
      <w:r>
        <w:rPr>
          <w:rFonts w:ascii="Times New Roman" w:cs="Times New Roman" w:eastAsia="Times New Roman" w:hAnsi="Times New Roman"/>
          <w:sz w:val="14"/>
          <w:szCs w:val="14"/>
          <w:color w:val="auto"/>
        </w:rPr>
        <w:t>If you do not exchange your Old Notes for New Notes in the exchange offer, you will continue to be subject to the restrictions on transfer of your Old Notes described in the legend on the certificates for your Old Notes. In general, you may only offer or sell the Old Notes if they are registered under the Securities Act and applicable state securities laws, or you offer and sell under an exemption from these requirements. We do not plan to register any sale of the Old Notes under the Securities Act.</w:t>
      </w:r>
    </w:p>
    <w:p>
      <w:pPr>
        <w:spacing w:after="0" w:line="92" w:lineRule="exact"/>
        <w:rPr>
          <w:rFonts w:ascii="Times New Roman" w:cs="Times New Roman" w:eastAsia="Times New Roman" w:hAnsi="Times New Roman"/>
          <w:sz w:val="14"/>
          <w:szCs w:val="14"/>
          <w:i w:val="1"/>
          <w:iCs w:val="1"/>
          <w:color w:val="auto"/>
        </w:rPr>
      </w:pPr>
    </w:p>
    <w:p>
      <w:pPr>
        <w:ind w:left="1380" w:right="1539" w:firstLine="275"/>
        <w:spacing w:after="0" w:line="251" w:lineRule="auto"/>
        <w:rPr>
          <w:sz w:val="20"/>
          <w:szCs w:val="20"/>
          <w:color w:val="auto"/>
        </w:rPr>
      </w:pPr>
      <w:r>
        <w:rPr>
          <w:rFonts w:ascii="Times New Roman" w:cs="Times New Roman" w:eastAsia="Times New Roman" w:hAnsi="Times New Roman"/>
          <w:sz w:val="14"/>
          <w:szCs w:val="14"/>
          <w:color w:val="auto"/>
        </w:rPr>
        <w:t>The tender of Old Notes under the exchange offer will reduce the principal amount of the Old Notes outstanding, which may have an adverse effect upon, and increase the volatility of, the market price of the Old Notes due to reduction in liquidity.</w:t>
      </w:r>
    </w:p>
    <w:p>
      <w:pPr>
        <w:spacing w:after="0" w:line="119" w:lineRule="exact"/>
        <w:rPr>
          <w:rFonts w:ascii="Times New Roman" w:cs="Times New Roman" w:eastAsia="Times New Roman" w:hAnsi="Times New Roman"/>
          <w:sz w:val="14"/>
          <w:szCs w:val="14"/>
          <w:i w:val="1"/>
          <w:iCs w:val="1"/>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i w:val="1"/>
          <w:iCs w:val="1"/>
          <w:color w:val="auto"/>
        </w:rPr>
        <w:t>You may not receive New Notes in the exchange offer if you do not properly follow the exchange offer procedures.</w:t>
      </w:r>
    </w:p>
    <w:p>
      <w:pPr>
        <w:spacing w:after="0" w:line="122" w:lineRule="exact"/>
        <w:rPr>
          <w:rFonts w:ascii="Times New Roman" w:cs="Times New Roman" w:eastAsia="Times New Roman" w:hAnsi="Times New Roman"/>
          <w:sz w:val="14"/>
          <w:szCs w:val="14"/>
          <w:i w:val="1"/>
          <w:iCs w:val="1"/>
          <w:color w:val="auto"/>
        </w:rPr>
      </w:pPr>
    </w:p>
    <w:p>
      <w:pPr>
        <w:ind w:left="1380" w:right="1439" w:firstLine="275"/>
        <w:spacing w:after="0" w:line="239" w:lineRule="auto"/>
        <w:rPr>
          <w:sz w:val="20"/>
          <w:szCs w:val="20"/>
          <w:color w:val="auto"/>
        </w:rPr>
      </w:pPr>
      <w:r>
        <w:rPr>
          <w:rFonts w:ascii="Times New Roman" w:cs="Times New Roman" w:eastAsia="Times New Roman" w:hAnsi="Times New Roman"/>
          <w:sz w:val="14"/>
          <w:szCs w:val="14"/>
          <w:color w:val="auto"/>
        </w:rPr>
        <w:t>We will issue New Notes in exchange for your Old Notes only if you properly tender the Old Notes before expiration of the exchange offer. Neither we nor the exchange agent are required to tell you of any defects or irregularities with respect to your tender of Old Notes. If you are the beneficial holder of Old Notes that are held through your broker, dealer, commercial bank, trust company or other nominee, and you wish to tender such Old Notes in the exchange offer, you should promptly contact the person through whom your Old Notes are held and instruct that person to tender on your behalf in accordance with the procedures described in this prospectus and the accompanying transmittal letter.</w:t>
      </w:r>
    </w:p>
    <w:p>
      <w:pPr>
        <w:spacing w:after="0" w:line="131" w:lineRule="exact"/>
        <w:rPr>
          <w:rFonts w:ascii="Times New Roman" w:cs="Times New Roman" w:eastAsia="Times New Roman" w:hAnsi="Times New Roman"/>
          <w:sz w:val="14"/>
          <w:szCs w:val="14"/>
          <w:i w:val="1"/>
          <w:iCs w:val="1"/>
          <w:color w:val="auto"/>
        </w:rPr>
      </w:pPr>
    </w:p>
    <w:p>
      <w:pPr>
        <w:jc w:val="both"/>
        <w:ind w:left="1380" w:right="137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The liquidity of any trading market that currently exists for the Old Notes may be adversely affected by the exchange offer, and holders who fail to participate in the exchange offer may find it more difficult to sell their Old Notes after the exchange offer is completed.</w:t>
      </w:r>
    </w:p>
    <w:p>
      <w:pPr>
        <w:spacing w:after="0" w:line="80" w:lineRule="exact"/>
        <w:rPr>
          <w:rFonts w:ascii="Times New Roman" w:cs="Times New Roman" w:eastAsia="Times New Roman" w:hAnsi="Times New Roman"/>
          <w:sz w:val="14"/>
          <w:szCs w:val="14"/>
          <w:i w:val="1"/>
          <w:iCs w:val="1"/>
          <w:color w:val="auto"/>
        </w:rPr>
      </w:pPr>
    </w:p>
    <w:p>
      <w:pPr>
        <w:ind w:left="1380" w:right="1639" w:firstLine="275"/>
        <w:spacing w:after="0" w:line="256" w:lineRule="auto"/>
        <w:rPr>
          <w:sz w:val="20"/>
          <w:szCs w:val="20"/>
          <w:color w:val="auto"/>
        </w:rPr>
      </w:pPr>
      <w:r>
        <w:rPr>
          <w:rFonts w:ascii="Times New Roman" w:cs="Times New Roman" w:eastAsia="Times New Roman" w:hAnsi="Times New Roman"/>
          <w:sz w:val="14"/>
          <w:szCs w:val="14"/>
          <w:color w:val="auto"/>
        </w:rPr>
        <w:t>To the extent tenders of Old Notes for exchange in the exchange offer are accepted by us and the exchange offer is completed, the trading market for the Old Notes that remain outstanding following the</w:t>
      </w:r>
    </w:p>
    <w:p>
      <w:pPr>
        <w:spacing w:after="0" w:line="275" w:lineRule="exact"/>
        <w:rPr>
          <w:rFonts w:ascii="Times New Roman" w:cs="Times New Roman" w:eastAsia="Times New Roman" w:hAnsi="Times New Roman"/>
          <w:sz w:val="14"/>
          <w:szCs w:val="14"/>
          <w:i w:val="1"/>
          <w:iCs w:val="1"/>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6" w:name="page17"/>
    <w:bookmarkEnd w:id="16"/>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439"/>
        <w:spacing w:after="0" w:line="241" w:lineRule="auto"/>
        <w:rPr>
          <w:sz w:val="20"/>
          <w:szCs w:val="20"/>
          <w:color w:val="auto"/>
        </w:rPr>
      </w:pPr>
      <w:r>
        <w:rPr>
          <w:rFonts w:ascii="Times New Roman" w:cs="Times New Roman" w:eastAsia="Times New Roman" w:hAnsi="Times New Roman"/>
          <w:sz w:val="14"/>
          <w:szCs w:val="14"/>
          <w:color w:val="auto"/>
        </w:rPr>
        <w:t>completion of the exchange offer may be significantly more limited. The remaining Old Notes may command lower prices than comparable issues of securities with greater market liquidity and, if they currently qualify for inclusion in certain indices, may no longer qualify for inclusion. Reduced market values and reduced liquidity may also make the trading prices of the remaining Old Notes more volatile. As a result, the market prices for the Old Notes that remain outstanding after the completion of the exchange offer may be adversely affected as a result of the exchange offer.</w:t>
      </w:r>
    </w:p>
    <w:p>
      <w:pPr>
        <w:spacing w:after="0" w:line="1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Some holders who exchange their Old Notes may be deemed to be underwriters.</w:t>
      </w:r>
    </w:p>
    <w:p>
      <w:pPr>
        <w:spacing w:after="0" w:line="121" w:lineRule="exact"/>
        <w:rPr>
          <w:sz w:val="20"/>
          <w:szCs w:val="20"/>
          <w:color w:val="auto"/>
        </w:rPr>
      </w:pPr>
    </w:p>
    <w:p>
      <w:pPr>
        <w:ind w:left="1380" w:right="1399" w:firstLine="275"/>
        <w:spacing w:after="0" w:line="249" w:lineRule="auto"/>
        <w:rPr>
          <w:sz w:val="20"/>
          <w:szCs w:val="20"/>
          <w:color w:val="auto"/>
        </w:rPr>
      </w:pPr>
      <w:r>
        <w:rPr>
          <w:rFonts w:ascii="Times New Roman" w:cs="Times New Roman" w:eastAsia="Times New Roman" w:hAnsi="Times New Roman"/>
          <w:sz w:val="14"/>
          <w:szCs w:val="14"/>
          <w:color w:val="auto"/>
        </w:rPr>
        <w:t>Based on interpretations of the staff of the SEC contained in certain no-action letters addressed to other parties, we believe that you may offer for resale, resell or otherwise transfer the New Notes without compliance with the registration and prospectus delivery requirements of the Securities Act. However, in some instances described in this prospectus under “Plan of Distribution,” certain holders of New Notes will remain obligated to comply with the registration and prospectus delivery requirements of the Securities Act to transfer the New Notes. If such a holder transfers any New Notes without delivering a prospectus meeting the requirements of the Securities Act or without an applicable exemption from registration under the Securities Act, such a holder may incur liability under the Securities Act. We do not and will not assume, or indemnify such a holder against, such liability.</w:t>
      </w:r>
    </w:p>
    <w:p>
      <w:pPr>
        <w:spacing w:after="0" w:line="14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The exchange offer may be cancelled or delayed.</w:t>
      </w:r>
    </w:p>
    <w:p>
      <w:pPr>
        <w:spacing w:after="0" w:line="121" w:lineRule="exact"/>
        <w:rPr>
          <w:sz w:val="20"/>
          <w:szCs w:val="20"/>
          <w:color w:val="auto"/>
        </w:rPr>
      </w:pPr>
    </w:p>
    <w:p>
      <w:pPr>
        <w:ind w:left="1380" w:right="1419" w:firstLine="275"/>
        <w:spacing w:after="0" w:line="250" w:lineRule="auto"/>
        <w:rPr>
          <w:sz w:val="20"/>
          <w:szCs w:val="20"/>
          <w:color w:val="auto"/>
        </w:rPr>
      </w:pPr>
      <w:r>
        <w:rPr>
          <w:rFonts w:ascii="Times New Roman" w:cs="Times New Roman" w:eastAsia="Times New Roman" w:hAnsi="Times New Roman"/>
          <w:sz w:val="14"/>
          <w:szCs w:val="14"/>
          <w:color w:val="auto"/>
        </w:rPr>
        <w:t>The consummation of the exchange offer is subject to, and conditional upon, the satisfaction or waiver of the conditions discussed under “The Exchange Offer — Conditions.” We may, at our option and in our sole discretion, waive any such conditions. Even if the exchange offer is completed, the exchange offer may not be completed on the schedule described in this prospectus. Accordingly, holders participating in the exchange offer may have to wait longer than expected to receive their New Notes, during which time such holders will not be able to effect transfers of their Old Notes tendered for exchange.</w:t>
      </w:r>
    </w:p>
    <w:p>
      <w:pPr>
        <w:spacing w:after="0" w:line="14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Risks Related to the Notes</w:t>
      </w:r>
    </w:p>
    <w:p>
      <w:pPr>
        <w:spacing w:after="0" w:line="8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The notes will be unsecured and subordinated to any existing and future senior indebtedness.</w:t>
      </w:r>
    </w:p>
    <w:p>
      <w:pPr>
        <w:spacing w:after="0" w:line="111" w:lineRule="exact"/>
        <w:rPr>
          <w:sz w:val="20"/>
          <w:szCs w:val="20"/>
          <w:color w:val="auto"/>
        </w:rPr>
      </w:pPr>
    </w:p>
    <w:p>
      <w:pPr>
        <w:ind w:left="1380" w:right="1439" w:firstLine="275"/>
        <w:spacing w:after="0" w:line="248" w:lineRule="auto"/>
        <w:rPr>
          <w:sz w:val="20"/>
          <w:szCs w:val="20"/>
          <w:color w:val="auto"/>
        </w:rPr>
      </w:pPr>
      <w:r>
        <w:rPr>
          <w:rFonts w:ascii="Times New Roman" w:cs="Times New Roman" w:eastAsia="Times New Roman" w:hAnsi="Times New Roman"/>
          <w:sz w:val="14"/>
          <w:szCs w:val="14"/>
          <w:color w:val="auto"/>
        </w:rPr>
        <w:t xml:space="preserve">The notes will be subordinated obligations of the Company. Accordingly, they will be junior in right of payment to any existing and all future senior indebtedness, and in certain events of insolvency, to other financial obligations. Our senior indebtedness includes all indebtedness, except indebtedness that is expressly subordinated to or ranked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notes, subject to certain exceptions. The notes will rank equally with all other unsecured subordinated indebtedness of the Company issued in the future under the indenture between the Company, as issuer, and UMB Bank, N.A., as trustee. In addition, the notes will be structurally subordinated to all existing and future indebtedness, liabilities and other obligations, including deposits, of our subsidiaries, including the Bank. As of March 31, 2026, on a consolidated basis, we had, in the aggregate, outstanding debt and deposits of $6.0 billion, and $12.3 million of third-party borrowings that would rank senior to the notes.</w:t>
      </w:r>
    </w:p>
    <w:p>
      <w:pPr>
        <w:spacing w:after="0" w:line="99" w:lineRule="exact"/>
        <w:rPr>
          <w:sz w:val="20"/>
          <w:szCs w:val="20"/>
          <w:color w:val="auto"/>
        </w:rPr>
      </w:pPr>
    </w:p>
    <w:p>
      <w:pPr>
        <w:ind w:left="1380" w:right="1439" w:firstLine="275"/>
        <w:spacing w:after="0" w:line="254" w:lineRule="auto"/>
        <w:rPr>
          <w:sz w:val="20"/>
          <w:szCs w:val="20"/>
          <w:color w:val="auto"/>
        </w:rPr>
      </w:pPr>
      <w:r>
        <w:rPr>
          <w:rFonts w:ascii="Times New Roman" w:cs="Times New Roman" w:eastAsia="Times New Roman" w:hAnsi="Times New Roman"/>
          <w:sz w:val="14"/>
          <w:szCs w:val="14"/>
          <w:color w:val="auto"/>
        </w:rPr>
        <w:t>In addition, the notes will not be secured by any of our assets. As a result, the notes will be effectively subordinated to all of our secured indebtedness to the extent of the value of the assets securing such indebtedness. The indenture governing the notes does not limit the amount of senior indebtedness and other financial obligations or secured obligations that we or our subsidiaries may incur.</w:t>
      </w:r>
    </w:p>
    <w:p>
      <w:pPr>
        <w:spacing w:after="0" w:line="91" w:lineRule="exact"/>
        <w:rPr>
          <w:sz w:val="20"/>
          <w:szCs w:val="20"/>
          <w:color w:val="auto"/>
        </w:rPr>
      </w:pPr>
    </w:p>
    <w:p>
      <w:pPr>
        <w:ind w:left="1380" w:right="1759" w:firstLine="275"/>
        <w:spacing w:after="0" w:line="271" w:lineRule="auto"/>
        <w:rPr>
          <w:sz w:val="20"/>
          <w:szCs w:val="20"/>
          <w:color w:val="auto"/>
        </w:rPr>
      </w:pPr>
      <w:r>
        <w:rPr>
          <w:rFonts w:ascii="Times New Roman" w:cs="Times New Roman" w:eastAsia="Times New Roman" w:hAnsi="Times New Roman"/>
          <w:sz w:val="14"/>
          <w:szCs w:val="14"/>
          <w:color w:val="auto"/>
        </w:rPr>
        <w:t>As a result of the subordination provisions described above, holders of the notes may not be fully repaid in the event of our bankruptcy, liquidation or reorganization.</w:t>
      </w:r>
    </w:p>
    <w:p>
      <w:pPr>
        <w:spacing w:after="0" w:line="127" w:lineRule="exact"/>
        <w:rPr>
          <w:sz w:val="20"/>
          <w:szCs w:val="20"/>
          <w:color w:val="auto"/>
        </w:rPr>
      </w:pPr>
    </w:p>
    <w:p>
      <w:pPr>
        <w:ind w:left="1380" w:right="143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The notes will not be insured or guaranteed by the FDIC, any other governmental agency or any of our subsidiaries. The notes will be structurally subordinated to the indebtedness and other liabilities of our subsidiaries, which means that creditors of our subsidiaries generally will be paid from those subsidiaries’ assets before holders of the notes would have any claims to those assets.</w:t>
      </w:r>
    </w:p>
    <w:p>
      <w:pPr>
        <w:spacing w:after="0" w:line="80" w:lineRule="exact"/>
        <w:rPr>
          <w:sz w:val="20"/>
          <w:szCs w:val="20"/>
          <w:color w:val="auto"/>
        </w:rPr>
      </w:pPr>
    </w:p>
    <w:p>
      <w:pPr>
        <w:ind w:left="1380" w:right="1539" w:firstLine="275"/>
        <w:spacing w:after="0" w:line="271" w:lineRule="auto"/>
        <w:rPr>
          <w:sz w:val="20"/>
          <w:szCs w:val="20"/>
          <w:color w:val="auto"/>
        </w:rPr>
      </w:pPr>
      <w:r>
        <w:rPr>
          <w:rFonts w:ascii="Times New Roman" w:cs="Times New Roman" w:eastAsia="Times New Roman" w:hAnsi="Times New Roman"/>
          <w:sz w:val="14"/>
          <w:szCs w:val="14"/>
          <w:color w:val="auto"/>
        </w:rPr>
        <w:t>The notes are not savings accounts, deposits or other obligations of the Bank or any of our non-bank subsidiaries and are not insured or guaranteed by the FDIC or any other governmental agency or public or</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7" w:name="page18"/>
    <w:bookmarkEnd w:id="17"/>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459"/>
        <w:spacing w:after="0" w:line="247" w:lineRule="auto"/>
        <w:rPr>
          <w:sz w:val="20"/>
          <w:szCs w:val="20"/>
          <w:color w:val="auto"/>
        </w:rPr>
      </w:pPr>
      <w:r>
        <w:rPr>
          <w:rFonts w:ascii="Times New Roman" w:cs="Times New Roman" w:eastAsia="Times New Roman" w:hAnsi="Times New Roman"/>
          <w:sz w:val="14"/>
          <w:szCs w:val="14"/>
          <w:color w:val="auto"/>
        </w:rPr>
        <w:t>private insurer. The notes are obligations of the Company only and are neither obligations of, nor guaranteed by, any of our subsidiaries. The notes will be structurally subordinated to all existing and future indebtedness and other liabilities of our subsidiaries, which means that creditors of our subsidiaries (including, in the case of the Bank, its depositors) generally will be paid from those subsidiaries’ assets before holders of the notes would have any claims to those assets. Even if we become a creditor of any of our subsidiaries, our rights as a creditor would be subordinate to any security interest in the assets of that subsidiary and any debt of that subsidiary senior to that held by us, and our rights could otherwise be subordinated to the rights of other creditors and depositors of that subsidiary. Furthermore, none of our subsidiaries is under any obligation to make payments to us, and any payments to us would depend on the earnings or financial condition of our subsidiaries and various business considerations. Statutory, contractual or other restrictions also limit our subsidiaries’ ability to pay dividends or make distributions, loans or advances to us. For these reasons, we may not have access to any assets or cash flows of our subsidiaries to make interest and principal payments on the notes.</w:t>
      </w:r>
    </w:p>
    <w:p>
      <w:pPr>
        <w:spacing w:after="0" w:line="15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The notes include limited covenants and do not restrict our ability to incur additional debt.</w:t>
      </w:r>
    </w:p>
    <w:p>
      <w:pPr>
        <w:spacing w:after="0" w:line="121" w:lineRule="exact"/>
        <w:rPr>
          <w:sz w:val="20"/>
          <w:szCs w:val="20"/>
          <w:color w:val="auto"/>
        </w:rPr>
      </w:pPr>
    </w:p>
    <w:p>
      <w:pPr>
        <w:ind w:left="1380" w:right="1459" w:firstLine="275"/>
        <w:spacing w:after="0" w:line="249" w:lineRule="auto"/>
        <w:rPr>
          <w:sz w:val="20"/>
          <w:szCs w:val="20"/>
          <w:color w:val="auto"/>
        </w:rPr>
      </w:pPr>
      <w:r>
        <w:rPr>
          <w:rFonts w:ascii="Times New Roman" w:cs="Times New Roman" w:eastAsia="Times New Roman" w:hAnsi="Times New Roman"/>
          <w:sz w:val="14"/>
          <w:szCs w:val="14"/>
          <w:color w:val="auto"/>
        </w:rPr>
        <w:t>The notes do not contain any financial covenants that would require us to achieve or maintain any minimum financial results relating to our financial condition, liquidity or results of operations or meet or exceed certain financial ratios as a general matter or to incur additional indebtedness or obligations or to maintain any reserves. Moreover, except under certain limited circumstances, the notes do not contain any covenants prohibiting or limiting us or our subsidiaries from granting liens on assets to secure indebtedness or other obligations, repurchasing our stock or other securities, including any of the notes, or paying dividends or making other distributions to our shareholders. The notes do not contain any provision that would provide protection to the holders of the notes against a material decline in our credit quality.</w:t>
      </w:r>
    </w:p>
    <w:p>
      <w:pPr>
        <w:spacing w:after="0" w:line="96" w:lineRule="exact"/>
        <w:rPr>
          <w:sz w:val="20"/>
          <w:szCs w:val="20"/>
          <w:color w:val="auto"/>
        </w:rPr>
      </w:pPr>
    </w:p>
    <w:p>
      <w:pPr>
        <w:ind w:left="1380" w:right="1419" w:firstLine="275"/>
        <w:spacing w:after="0" w:line="250" w:lineRule="auto"/>
        <w:rPr>
          <w:sz w:val="20"/>
          <w:szCs w:val="20"/>
          <w:color w:val="auto"/>
        </w:rPr>
      </w:pPr>
      <w:r>
        <w:rPr>
          <w:rFonts w:ascii="Times New Roman" w:cs="Times New Roman" w:eastAsia="Times New Roman" w:hAnsi="Times New Roman"/>
          <w:sz w:val="14"/>
          <w:szCs w:val="14"/>
          <w:color w:val="auto"/>
        </w:rPr>
        <w:t>In addition, the notes do not limit the amount of additional indebtedness that the Company, the Bank or any of our other subsidiaries may incur or the amount of other obligations that the Company or the Bank may incur ranking senior or equal to the indebtedness evidenced by the notes. The issuance or guarantee of any such securities or the incurrence of any such other liabilities may reduce the amount, if any, recoverable by holders of the notes in the event of our insolvency, bankruptcy, liquidation, dissolution, winding up or similar proceeding, and may limit our ability to meet our obligations under the notes.</w:t>
      </w:r>
    </w:p>
    <w:p>
      <w:pPr>
        <w:spacing w:after="0" w:line="1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Payments on the notes will depend on receipt of dividends and distributions from our subsidiaries.</w:t>
      </w:r>
    </w:p>
    <w:p>
      <w:pPr>
        <w:spacing w:after="0" w:line="111" w:lineRule="exact"/>
        <w:rPr>
          <w:sz w:val="20"/>
          <w:szCs w:val="20"/>
          <w:color w:val="auto"/>
        </w:rPr>
      </w:pPr>
    </w:p>
    <w:p>
      <w:pPr>
        <w:ind w:left="1380" w:right="1819" w:firstLine="275"/>
        <w:spacing w:after="0" w:line="258" w:lineRule="auto"/>
        <w:rPr>
          <w:sz w:val="20"/>
          <w:szCs w:val="20"/>
          <w:color w:val="auto"/>
        </w:rPr>
      </w:pPr>
      <w:r>
        <w:rPr>
          <w:rFonts w:ascii="Times New Roman" w:cs="Times New Roman" w:eastAsia="Times New Roman" w:hAnsi="Times New Roman"/>
          <w:sz w:val="14"/>
          <w:szCs w:val="14"/>
          <w:color w:val="auto"/>
        </w:rPr>
        <w:t>We are a financial holding company and we conduct substantially all of our operations through subsidiaries, including the Bank. We depend on dividends, distributions and other payments from our subsidiaries to meet our obligations, including to fund payments on the notes.</w:t>
      </w:r>
    </w:p>
    <w:p>
      <w:pPr>
        <w:spacing w:after="0" w:line="89" w:lineRule="exact"/>
        <w:rPr>
          <w:sz w:val="20"/>
          <w:szCs w:val="20"/>
          <w:color w:val="auto"/>
        </w:rPr>
      </w:pPr>
    </w:p>
    <w:p>
      <w:pPr>
        <w:ind w:left="1380" w:right="1399" w:firstLine="275"/>
        <w:spacing w:after="0" w:line="248" w:lineRule="auto"/>
        <w:rPr>
          <w:sz w:val="20"/>
          <w:szCs w:val="20"/>
          <w:color w:val="auto"/>
        </w:rPr>
      </w:pPr>
      <w:r>
        <w:rPr>
          <w:rFonts w:ascii="Times New Roman" w:cs="Times New Roman" w:eastAsia="Times New Roman" w:hAnsi="Times New Roman"/>
          <w:sz w:val="14"/>
          <w:szCs w:val="14"/>
          <w:color w:val="auto"/>
        </w:rPr>
        <w:t>Various federal and state laws and regulations limit the amount of dividends that the Bank may pay to the Company. In addition, Illinois-chartered banks generally may pay dividends only out of undivided profits. Moreover, the payment of dividends by any FDIC-insured institution is affected by the requirement to maintain adequate capital pursuant to applicable capital adequacy guidelines and regulations, and an FDIC-insured institution generally is prohibited from paying any dividends if, following payment thereof, the institution would be undercapitalized. Also, the Company’s right to participate in a distribution of assets upon a subsidiary’s liquidation or reorganization is subject to the prior claims of the subsidiary’s creditors. In the event the Bank is unable to pay dividends to us, we may not be able to service any debt we may incur, which could have a material adverse effect on our business, financial condition, results of operations and growth prospects.</w:t>
      </w:r>
    </w:p>
    <w:p>
      <w:pPr>
        <w:spacing w:after="0" w:line="99" w:lineRule="exact"/>
        <w:rPr>
          <w:sz w:val="20"/>
          <w:szCs w:val="20"/>
          <w:color w:val="auto"/>
        </w:rPr>
      </w:pPr>
    </w:p>
    <w:p>
      <w:pPr>
        <w:ind w:left="1380" w:right="1459" w:firstLine="275"/>
        <w:spacing w:after="0" w:line="249" w:lineRule="auto"/>
        <w:rPr>
          <w:sz w:val="20"/>
          <w:szCs w:val="20"/>
          <w:color w:val="auto"/>
        </w:rPr>
      </w:pPr>
      <w:r>
        <w:rPr>
          <w:rFonts w:ascii="Times New Roman" w:cs="Times New Roman" w:eastAsia="Times New Roman" w:hAnsi="Times New Roman"/>
          <w:sz w:val="14"/>
          <w:szCs w:val="14"/>
          <w:color w:val="auto"/>
        </w:rPr>
        <w:t>The Bank also may not pay dividends if payment would cause it to become undercapitalized or if it is already undercapitalized and must maintain a common equity Tier 1 capital conservation buffer of greater than 2.5% to avoid becoming subject to restrictions on capital distributions, including dividends. Further, contractual or other restrictions may also limit our subsidiaries’ abilities to pay dividends or make distributions, loans or advances to us. See the information under “Supervision and Regulation —  Supervision and Regulation of the Bank — Dividend Payments” in Item 1, “Business,” in our annual report on Form 10-K for the year ended December 31, 2025. For these reasons, we may not have access to any assets or cash flow of our subsidiaries to make principal or interest payments on the notes.</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8" w:name="page19"/>
    <w:bookmarkEnd w:id="18"/>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generate sufficient cash to service all of our debt, including the notes.</w:t>
      </w:r>
    </w:p>
    <w:p>
      <w:pPr>
        <w:spacing w:after="0" w:line="121" w:lineRule="exact"/>
        <w:rPr>
          <w:sz w:val="20"/>
          <w:szCs w:val="20"/>
          <w:color w:val="auto"/>
        </w:rPr>
      </w:pPr>
    </w:p>
    <w:p>
      <w:pPr>
        <w:ind w:left="1380" w:right="1439" w:firstLine="275"/>
        <w:spacing w:after="0" w:line="248" w:lineRule="auto"/>
        <w:rPr>
          <w:sz w:val="20"/>
          <w:szCs w:val="20"/>
          <w:color w:val="auto"/>
        </w:rPr>
      </w:pPr>
      <w:r>
        <w:rPr>
          <w:rFonts w:ascii="Times New Roman" w:cs="Times New Roman" w:eastAsia="Times New Roman" w:hAnsi="Times New Roman"/>
          <w:sz w:val="14"/>
          <w:szCs w:val="14"/>
          <w:color w:val="auto"/>
        </w:rPr>
        <w:t>Our ability to make scheduled payments of principal and interest, or to satisfy our obligations in respect of our debt or to refinance our debt, will depend on the future performance of our operating subsidiaries. Prevailing economic conditions (including interest rates), regulatory constraints, including, without limitation, limiting distributions to us from the Bank and required capital levels with respect to the Bank and financial, business and other factors, many of which are beyond our control, will also affect our ability to meet these needs. Our subsidiaries may not be able to generate sufficient cash flows from operations, or we may be unable to obtain future borrowings in an amount sufficient to enable us to pay our debt, or to fund our other liquidity needs. We may need to refinance all or a portion of our debt on or before maturity. We may not be able to refinance any of our debt when needed (including, without limitation, upon commencement of the Floating Interest Period) on commercially reasonable terms or at all.</w:t>
      </w:r>
    </w:p>
    <w:p>
      <w:pPr>
        <w:spacing w:after="0" w:line="146" w:lineRule="exact"/>
        <w:rPr>
          <w:sz w:val="20"/>
          <w:szCs w:val="20"/>
          <w:color w:val="auto"/>
        </w:rPr>
      </w:pPr>
    </w:p>
    <w:p>
      <w:pPr>
        <w:ind w:left="1380" w:right="14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Regulatory guidelines may restrict our ability to pay the principal of, and accrued and unpaid interest on, the notes, regardless of whether we are the subject of an insolvency proceeding.</w:t>
      </w:r>
    </w:p>
    <w:p>
      <w:pPr>
        <w:spacing w:after="0" w:line="75" w:lineRule="exact"/>
        <w:rPr>
          <w:sz w:val="20"/>
          <w:szCs w:val="20"/>
          <w:color w:val="auto"/>
        </w:rPr>
      </w:pPr>
    </w:p>
    <w:p>
      <w:pPr>
        <w:ind w:left="1380" w:right="1399" w:firstLine="275"/>
        <w:spacing w:after="0" w:line="248" w:lineRule="auto"/>
        <w:rPr>
          <w:sz w:val="20"/>
          <w:szCs w:val="20"/>
          <w:color w:val="auto"/>
        </w:rPr>
      </w:pPr>
      <w:r>
        <w:rPr>
          <w:rFonts w:ascii="Times New Roman" w:cs="Times New Roman" w:eastAsia="Times New Roman" w:hAnsi="Times New Roman"/>
          <w:sz w:val="14"/>
          <w:szCs w:val="14"/>
          <w:color w:val="auto"/>
        </w:rPr>
        <w:t>As a financial holding company, our ability to pay the principal of, and interest on, the notes is subject to the rules and guidelines of the Federal Reserve regarding capital adequacy. We intend to treat the notes as “Tier 2 capital” under these rules and guidelines. The Federal Reserve guidelines generally require us to review the effects of the cash payment of Tier 2 capital instruments, such as the notes, on our overall financial condition. The guidelines also require that we review our net income for the current and past four quarters, and the amounts we have paid on Tier 2 capital instruments for those periods, as well as our projected rate of earnings retention. Moreover, pursuant to federal law and Federal Reserve regulations, as a bank holding company, we are required to act as a source of financial and managerial strength to the Bank and commit resources to its support, including, without limitation, the guarantee of its capital plans if it is undercapitalized. Such support may be required at times when we may not otherwise be inclined or able to provide it. As a result of the foregoing, we may be unable to pay accrued interest on the notes on one or more of the scheduled interest payment dates, or at any other time, or the principal of the notes at the maturity of the notes.</w:t>
      </w:r>
    </w:p>
    <w:p>
      <w:pPr>
        <w:spacing w:after="0" w:line="250" w:lineRule="exact"/>
        <w:rPr>
          <w:sz w:val="20"/>
          <w:szCs w:val="20"/>
          <w:color w:val="auto"/>
        </w:rPr>
      </w:pPr>
    </w:p>
    <w:p>
      <w:pPr>
        <w:ind w:left="1380" w:right="1399" w:firstLine="275"/>
        <w:spacing w:after="0" w:line="252" w:lineRule="auto"/>
        <w:rPr>
          <w:sz w:val="20"/>
          <w:szCs w:val="20"/>
          <w:color w:val="auto"/>
        </w:rPr>
      </w:pPr>
      <w:r>
        <w:rPr>
          <w:rFonts w:ascii="Times New Roman" w:cs="Times New Roman" w:eastAsia="Times New Roman" w:hAnsi="Times New Roman"/>
          <w:sz w:val="14"/>
          <w:szCs w:val="14"/>
          <w:color w:val="auto"/>
        </w:rPr>
        <w:t>If we were to be the subject of a bankruptcy proceeding under Chapter 11 of the U.S. Bankruptcy Code, then the bankruptcy trustee would be deemed to have assumed, and would be required to cure, immediately any deficit under any commitment we have to any of the federal banking agencies to maintain the capital of the Bank, and any other insured depository institution for which we have such a responsibility, and any claim for breach of such obligation would generally have priority over most other unsecured claims.</w:t>
      </w:r>
    </w:p>
    <w:p>
      <w:pPr>
        <w:spacing w:after="0" w:line="14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The notes are subject to limited rights of acceleration.</w:t>
      </w:r>
    </w:p>
    <w:p>
      <w:pPr>
        <w:spacing w:after="0" w:line="121" w:lineRule="exact"/>
        <w:rPr>
          <w:sz w:val="20"/>
          <w:szCs w:val="20"/>
          <w:color w:val="auto"/>
        </w:rPr>
      </w:pPr>
    </w:p>
    <w:p>
      <w:pPr>
        <w:ind w:left="1380" w:right="1399" w:firstLine="275"/>
        <w:spacing w:after="0" w:line="250" w:lineRule="auto"/>
        <w:rPr>
          <w:sz w:val="20"/>
          <w:szCs w:val="20"/>
          <w:color w:val="auto"/>
        </w:rPr>
      </w:pPr>
      <w:r>
        <w:rPr>
          <w:rFonts w:ascii="Times New Roman" w:cs="Times New Roman" w:eastAsia="Times New Roman" w:hAnsi="Times New Roman"/>
          <w:sz w:val="14"/>
          <w:szCs w:val="14"/>
          <w:color w:val="auto"/>
        </w:rPr>
        <w:t>Payment of principal of the notes may be accelerated only in the case of certain receivership or bankruptcy-related events with respect to us. As a result, you have no right to accelerate the payment of principal of the notes if we fail to pay principal of or interest on the notes or if we fail in the performance of any of our other obligations under the notes. Our regulators can, in the event we or the Bank become subject to an enforcement action, prohibit the Bank from paying dividends to us, and prevent our payment of interest or principal on the notes and any dividends on our capital stock, but such limits will not permit acceleration of the notes.</w:t>
      </w:r>
    </w:p>
    <w:p>
      <w:pPr>
        <w:spacing w:after="0" w:line="14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for the notes may not develop.</w:t>
      </w:r>
    </w:p>
    <w:p>
      <w:pPr>
        <w:spacing w:after="0" w:line="121" w:lineRule="exact"/>
        <w:rPr>
          <w:sz w:val="20"/>
          <w:szCs w:val="20"/>
          <w:color w:val="auto"/>
        </w:rPr>
      </w:pPr>
    </w:p>
    <w:p>
      <w:pPr>
        <w:ind w:left="1380" w:right="1439" w:firstLine="275"/>
        <w:spacing w:after="0" w:line="248" w:lineRule="auto"/>
        <w:rPr>
          <w:sz w:val="20"/>
          <w:szCs w:val="20"/>
          <w:color w:val="auto"/>
        </w:rPr>
      </w:pPr>
      <w:r>
        <w:rPr>
          <w:rFonts w:ascii="Times New Roman" w:cs="Times New Roman" w:eastAsia="Times New Roman" w:hAnsi="Times New Roman"/>
          <w:sz w:val="14"/>
          <w:szCs w:val="14"/>
          <w:color w:val="auto"/>
        </w:rPr>
        <w:t>The notes constitute a new issue of securities for which there is no existing trading market. We do not intend to apply for listing of the notes on any securities exchange or for quotation of the notes in any automated dealer quotation system. We cannot provide you with any assurance regarding whether a trading market for the notes will develop, the ability of holders of the notes to sell their notes or the prices at which holders may be able to sell their notes. You should also be aware that there may be a limited number of buyers when you decide to sell your notes. This may affect the price you receive for your notes or your ability to sell your notes at all. Investors in the notes may not be able to sell the notes at all or may not be able to sell the notes at prices that will provide them with a yield comparable to similar investments that have a developed secondary market, and may consequently suffer from increased pricing volatility and market risk.</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19" w:name="page20"/>
    <w:bookmarkEnd w:id="19"/>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80" w:right="15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a trading market for the notes develops, changes in the debt markets, among others, could adversely affect your ability to liquidate your investment in the notes and the market price of the notes.</w:t>
      </w:r>
    </w:p>
    <w:p>
      <w:pPr>
        <w:spacing w:after="0" w:line="75" w:lineRule="exact"/>
        <w:rPr>
          <w:sz w:val="20"/>
          <w:szCs w:val="20"/>
          <w:color w:val="auto"/>
        </w:rPr>
      </w:pPr>
    </w:p>
    <w:p>
      <w:pPr>
        <w:ind w:left="1380" w:right="1439" w:firstLine="275"/>
        <w:spacing w:after="0" w:line="247" w:lineRule="auto"/>
        <w:rPr>
          <w:sz w:val="20"/>
          <w:szCs w:val="20"/>
          <w:color w:val="auto"/>
        </w:rPr>
      </w:pPr>
      <w:r>
        <w:rPr>
          <w:rFonts w:ascii="Times New Roman" w:cs="Times New Roman" w:eastAsia="Times New Roman" w:hAnsi="Times New Roman"/>
          <w:sz w:val="14"/>
          <w:szCs w:val="14"/>
          <w:color w:val="auto"/>
        </w:rPr>
        <w:t>If a market develops for the notes, the prices at which holders may be able to sell their notes may be affected, potentially adversely, by a number of factors. These factors include: the method of calculating the principal, premium, if any, interest or other amounts payable, if any, on the notes; the time remaining to the maturity of the notes; the ranking of the notes; the redemption or repayment features of the notes; the aggregate amount outstanding of the notes; the outstanding amount of subordinated notes with terms identical to the notes offered hereby; the prevailing interest rates being paid by other companies similar to us; changes in U.S. interest rates; whether the ratings on the notes or us provided by any rating agency have changed; our financial condition, financial performance and future prospects; the level, direction and volatility of market interest rates generally; general economic conditions of the capital markets in the United States; geopolitical conditions and other financial, political, regulatory, and judicial events that affect the capital markets generally; the extent of any market-making activities, if any, with respect to the notes; and the operating performance of the Bank. The condition of the financial markets and prevailing interest rates have fluctuated significantly in the past and are likely to fluctuate in the future. Such fluctuations could adversely affect the trading market (if any) for, and the market price of, the notes. Often, the only way to liquidate your investment in the notes prior to maturity will be to sell the notes. At that time, there may be a very illiquid market for the notes or no market at all.</w:t>
      </w:r>
    </w:p>
    <w:p>
      <w:pPr>
        <w:spacing w:after="0" w:line="148" w:lineRule="exact"/>
        <w:rPr>
          <w:sz w:val="20"/>
          <w:szCs w:val="20"/>
          <w:color w:val="auto"/>
        </w:rPr>
      </w:pPr>
    </w:p>
    <w:p>
      <w:pPr>
        <w:ind w:left="1380" w:right="1399"/>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Beginning on the fifth anniversary of the issuance of the notes, or at any time in the case of certain events, the notes may be redeemed at our option, which limits the ability of holders of the notes to accrue interest over the full stated term of the notes.</w:t>
      </w:r>
    </w:p>
    <w:p>
      <w:pPr>
        <w:spacing w:after="0" w:line="87" w:lineRule="exact"/>
        <w:rPr>
          <w:sz w:val="20"/>
          <w:szCs w:val="20"/>
          <w:color w:val="auto"/>
        </w:rPr>
      </w:pPr>
    </w:p>
    <w:p>
      <w:pPr>
        <w:ind w:left="1380" w:right="1519" w:firstLine="275"/>
        <w:spacing w:after="0" w:line="252" w:lineRule="auto"/>
        <w:rPr>
          <w:sz w:val="20"/>
          <w:szCs w:val="20"/>
          <w:color w:val="auto"/>
        </w:rPr>
      </w:pPr>
      <w:r>
        <w:rPr>
          <w:rFonts w:ascii="Times New Roman" w:cs="Times New Roman" w:eastAsia="Times New Roman" w:hAnsi="Times New Roman"/>
          <w:sz w:val="14"/>
          <w:szCs w:val="14"/>
          <w:color w:val="auto"/>
        </w:rPr>
        <w:t>Subject to the prior approval of the Federal Reserve (or, as and if applicable, the rules of any appropriate successor bank regulatory agency), to the extent that such approval is then required under applicable laws or regulations, including capital regulations, we may, at our option, redeem the notes (i) in whole or in part, on or after March 15, 2031 and (ii) in whole but not in part, at any time upon the occurrence of:</w:t>
      </w:r>
    </w:p>
    <w:p>
      <w:pPr>
        <w:spacing w:after="0" w:line="62" w:lineRule="exact"/>
        <w:rPr>
          <w:sz w:val="20"/>
          <w:szCs w:val="20"/>
          <w:color w:val="auto"/>
        </w:rPr>
      </w:pPr>
    </w:p>
    <w:p>
      <w:pPr>
        <w:ind w:left="1780" w:right="1399" w:hanging="134"/>
        <w:spacing w:after="0" w:line="254" w:lineRule="auto"/>
        <w:tabs>
          <w:tab w:leader="none" w:pos="1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“Tier 2 Capital Event,” which is defined in the indenture to mean receipt by us of a legal opinion of counsel experienced in such matters to the effect that as a result of any change, event, occurrence, circumstance or effect occurring on or after the date of the indenture, the notes do not constitute Tier 2 capital;</w:t>
      </w:r>
    </w:p>
    <w:p>
      <w:pPr>
        <w:spacing w:after="0" w:line="60" w:lineRule="exact"/>
        <w:rPr>
          <w:rFonts w:ascii="Times New Roman" w:cs="Times New Roman" w:eastAsia="Times New Roman" w:hAnsi="Times New Roman"/>
          <w:sz w:val="14"/>
          <w:szCs w:val="14"/>
          <w:color w:val="auto"/>
        </w:rPr>
      </w:pPr>
    </w:p>
    <w:p>
      <w:pPr>
        <w:ind w:left="1780" w:right="1479" w:hanging="134"/>
        <w:spacing w:after="0" w:line="254" w:lineRule="auto"/>
        <w:tabs>
          <w:tab w:leader="none" w:pos="1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 Event,” which is defined in the indenture to mean the receipt by us of a legal opinion of counsel experienced in such matters to the effect that there is a material risk that interest payable by us on the notes is not, or within 90 days of the date of such legal opinion, will not be, deductible by us, in whole or in part, for U.S. federal income tax purposes; or</w:t>
      </w:r>
    </w:p>
    <w:p>
      <w:pPr>
        <w:spacing w:after="0" w:line="60" w:lineRule="exact"/>
        <w:rPr>
          <w:rFonts w:ascii="Times New Roman" w:cs="Times New Roman" w:eastAsia="Times New Roman" w:hAnsi="Times New Roman"/>
          <w:sz w:val="14"/>
          <w:szCs w:val="14"/>
          <w:color w:val="auto"/>
        </w:rPr>
      </w:pPr>
    </w:p>
    <w:p>
      <w:pPr>
        <w:ind w:left="1780" w:right="1439" w:hanging="134"/>
        <w:spacing w:after="0" w:line="254" w:lineRule="auto"/>
        <w:tabs>
          <w:tab w:leader="none" w:pos="1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“Investment Company Event,” which is defined in the indenture to mean receipt by us of a legal opinion from counsel experienced in such matters to the effect that there is a material risk that we are, or within 90 days of the date of such legal opinion, will be considered an “investment company” that is required to be registered under the Investment Company Act of 1940, as amended,</w:t>
      </w:r>
    </w:p>
    <w:p>
      <w:pPr>
        <w:spacing w:after="0" w:line="91" w:lineRule="exact"/>
        <w:rPr>
          <w:sz w:val="20"/>
          <w:szCs w:val="20"/>
          <w:color w:val="auto"/>
        </w:rPr>
      </w:pPr>
    </w:p>
    <w:p>
      <w:pPr>
        <w:jc w:val="both"/>
        <w:ind w:left="1380" w:right="1519"/>
        <w:spacing w:after="0" w:line="250" w:lineRule="auto"/>
        <w:rPr>
          <w:sz w:val="20"/>
          <w:szCs w:val="20"/>
          <w:color w:val="auto"/>
        </w:rPr>
      </w:pPr>
      <w:r>
        <w:rPr>
          <w:rFonts w:ascii="Times New Roman" w:cs="Times New Roman" w:eastAsia="Times New Roman" w:hAnsi="Times New Roman"/>
          <w:sz w:val="14"/>
          <w:szCs w:val="14"/>
          <w:color w:val="auto"/>
        </w:rPr>
        <w:t>in each case at a redemption price equal to 100% of the principal amount of the notes to be redeemed plus accrued and unpaid interest to, but excluding, the date of redemption. Any redemption of the notes will be subject to prior approval of the Federal Reserve, to the extent such approval is then required. There can be no assurance that the Federal Reserve will approve any redemption of the notes that we may propose.</w:t>
      </w:r>
    </w:p>
    <w:p>
      <w:pPr>
        <w:spacing w:after="0" w:line="2" w:lineRule="exact"/>
        <w:rPr>
          <w:sz w:val="20"/>
          <w:szCs w:val="20"/>
          <w:color w:val="auto"/>
        </w:rPr>
      </w:pPr>
    </w:p>
    <w:p>
      <w:pPr>
        <w:ind w:left="1380" w:right="1419"/>
        <w:spacing w:after="0" w:line="247" w:lineRule="auto"/>
        <w:rPr>
          <w:sz w:val="20"/>
          <w:szCs w:val="20"/>
          <w:color w:val="auto"/>
        </w:rPr>
      </w:pPr>
      <w:r>
        <w:rPr>
          <w:rFonts w:ascii="Times New Roman" w:cs="Times New Roman" w:eastAsia="Times New Roman" w:hAnsi="Times New Roman"/>
          <w:sz w:val="14"/>
          <w:szCs w:val="14"/>
          <w:color w:val="auto"/>
        </w:rPr>
        <w:t>Furthermore, you should not expect us to redeem any notes when they first become redeemable or on any particular date thereafter. If we redeem the notes for any reason, you will not have the opportunity to continue to accrue and be paid interest to the stated maturity date and you may not be able to reinvest the redemption proceeds you receive in a similar security or in securities bearing similar interest rates or yields.</w:t>
      </w:r>
    </w:p>
    <w:p>
      <w:pPr>
        <w:spacing w:after="0" w:line="86" w:lineRule="exact"/>
        <w:rPr>
          <w:sz w:val="20"/>
          <w:szCs w:val="20"/>
          <w:color w:val="auto"/>
        </w:rPr>
      </w:pPr>
    </w:p>
    <w:p>
      <w:pPr>
        <w:ind w:left="1380" w:right="1459" w:firstLine="275"/>
        <w:spacing w:after="0" w:line="252" w:lineRule="auto"/>
        <w:rPr>
          <w:sz w:val="20"/>
          <w:szCs w:val="20"/>
          <w:color w:val="auto"/>
        </w:rPr>
      </w:pPr>
      <w:r>
        <w:rPr>
          <w:rFonts w:ascii="Times New Roman" w:cs="Times New Roman" w:eastAsia="Times New Roman" w:hAnsi="Times New Roman"/>
          <w:sz w:val="14"/>
          <w:szCs w:val="14"/>
          <w:color w:val="auto"/>
        </w:rPr>
        <w:t>Investors should not expect us to redeem the notes on or after the date on which they become redeemable at our option. Under Federal Reserve regulations, unless the Federal Reserve authorizes us in writing to do otherwise, we are not permitted to redeem the notes unless they are replaced with other Tier 2 capital instruments or unless we can demonstrate to the satisfaction of the Federal Reserve that, following redemption, we will continue to hold capital commensurate with our risk.</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194310</wp:posOffset>
            </wp:positionV>
            <wp:extent cx="52139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0" w:name="page21"/>
    <w:bookmarkEnd w:id="20"/>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The amount of interest payable on the notes will vary after the fifth anniversary of the issuance of the notes.</w:t>
      </w:r>
    </w:p>
    <w:p>
      <w:pPr>
        <w:spacing w:after="0" w:line="121" w:lineRule="exact"/>
        <w:rPr>
          <w:sz w:val="20"/>
          <w:szCs w:val="20"/>
          <w:color w:val="auto"/>
        </w:rPr>
      </w:pPr>
    </w:p>
    <w:p>
      <w:pPr>
        <w:ind w:left="1380" w:right="1399" w:firstLine="275"/>
        <w:spacing w:after="0" w:line="252" w:lineRule="auto"/>
        <w:rPr>
          <w:sz w:val="20"/>
          <w:szCs w:val="20"/>
          <w:color w:val="auto"/>
        </w:rPr>
      </w:pPr>
      <w:r>
        <w:rPr>
          <w:rFonts w:ascii="Times New Roman" w:cs="Times New Roman" w:eastAsia="Times New Roman" w:hAnsi="Times New Roman"/>
          <w:sz w:val="14"/>
          <w:szCs w:val="14"/>
          <w:color w:val="auto"/>
        </w:rPr>
        <w:t>During the fixed rate period, the notes will bear interest at a fixed interest rate per annum. Thereafter, the notes will bear interest at a floating rate per annum equal to the Benchmark rate (which is expected to be Three-Month Term SOFR), plus a spread, subject to certain provisions of the notes. The per annum interest rate that is determined at the reference time for each interest period will apply to the entire quarterly interest period following such determination date even if the Benchmark rate increases during that period.</w:t>
      </w:r>
    </w:p>
    <w:p>
      <w:pPr>
        <w:spacing w:after="0" w:line="93" w:lineRule="exact"/>
        <w:rPr>
          <w:sz w:val="20"/>
          <w:szCs w:val="20"/>
          <w:color w:val="auto"/>
        </w:rPr>
      </w:pPr>
    </w:p>
    <w:p>
      <w:pPr>
        <w:ind w:left="1380" w:right="1439" w:firstLine="275"/>
        <w:spacing w:after="0" w:line="250" w:lineRule="auto"/>
        <w:rPr>
          <w:sz w:val="20"/>
          <w:szCs w:val="20"/>
          <w:color w:val="auto"/>
        </w:rPr>
      </w:pPr>
      <w:r>
        <w:rPr>
          <w:rFonts w:ascii="Times New Roman" w:cs="Times New Roman" w:eastAsia="Times New Roman" w:hAnsi="Times New Roman"/>
          <w:sz w:val="14"/>
          <w:szCs w:val="14"/>
          <w:color w:val="auto"/>
        </w:rPr>
        <w:t>Floating rate notes bear additional significant risks not associated with fixed rate debt securities. These risks include fluctuation of the interest rates and the possibility that you will receive an amount of interest that is lower than expected. We have no control over a number of matters, including, without limitation, economic, financial, and political events, that are important in determining the existence, magnitude, and longevity of market volatility and other risks and their impact on the value of, or payments made on, the notes. In recent years, interest rates have been volatile, and that volatility may be expected in the future.</w:t>
      </w:r>
    </w:p>
    <w:p>
      <w:pPr>
        <w:spacing w:after="0" w:line="1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Our published credit ratings may not reflect all risks of an investment in the notes.</w:t>
      </w:r>
    </w:p>
    <w:p>
      <w:pPr>
        <w:spacing w:after="0" w:line="111" w:lineRule="exact"/>
        <w:rPr>
          <w:sz w:val="20"/>
          <w:szCs w:val="20"/>
          <w:color w:val="auto"/>
        </w:rPr>
      </w:pPr>
    </w:p>
    <w:p>
      <w:pPr>
        <w:ind w:left="1380" w:right="1399" w:firstLine="275"/>
        <w:spacing w:after="0" w:line="250" w:lineRule="auto"/>
        <w:rPr>
          <w:sz w:val="20"/>
          <w:szCs w:val="20"/>
          <w:color w:val="auto"/>
        </w:rPr>
      </w:pPr>
      <w:r>
        <w:rPr>
          <w:rFonts w:ascii="Times New Roman" w:cs="Times New Roman" w:eastAsia="Times New Roman" w:hAnsi="Times New Roman"/>
          <w:sz w:val="14"/>
          <w:szCs w:val="14"/>
          <w:color w:val="auto"/>
        </w:rPr>
        <w:t>The published credit ratings of us or our indebtedness are an assessment by rating agencies of our ability to pay our debts when due. These ratings are not recommendations to purchase, hold or sell the notes, inasmuch as the ratings do not comment as to market price or suitability for a particular investor, are limited in scope, and do not address all material risks relating to an investment in the notes, but rather reflect only the view of each rating agency at the time the rating is issued. The published credit ratings assigned to the notes may not reflect the potential impact of all risks related to structure and other factors on any trading market for, or trading value of, the notes.</w:t>
      </w:r>
    </w:p>
    <w:p>
      <w:pPr>
        <w:spacing w:after="0" w:line="94" w:lineRule="exact"/>
        <w:rPr>
          <w:sz w:val="20"/>
          <w:szCs w:val="20"/>
          <w:color w:val="auto"/>
        </w:rPr>
      </w:pPr>
    </w:p>
    <w:p>
      <w:pPr>
        <w:ind w:left="1380" w:right="1439" w:firstLine="275"/>
        <w:spacing w:after="0" w:line="271" w:lineRule="auto"/>
        <w:rPr>
          <w:sz w:val="20"/>
          <w:szCs w:val="20"/>
          <w:color w:val="auto"/>
        </w:rPr>
      </w:pPr>
      <w:r>
        <w:rPr>
          <w:rFonts w:ascii="Times New Roman" w:cs="Times New Roman" w:eastAsia="Times New Roman" w:hAnsi="Times New Roman"/>
          <w:sz w:val="14"/>
          <w:szCs w:val="14"/>
          <w:color w:val="auto"/>
        </w:rPr>
        <w:t>Accordingly, you should consult your own financial and legal advisors as to the risks entailed by an investment in the notes and the suitability of investing in the notes in light of your particular circumstances.</w:t>
      </w:r>
    </w:p>
    <w:p>
      <w:pPr>
        <w:spacing w:after="0" w:line="1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b w:val="1"/>
          <w:bCs w:val="1"/>
          <w:i w:val="1"/>
          <w:iCs w:val="1"/>
          <w:color w:val="auto"/>
        </w:rPr>
        <w:t>A downgrade in our credit ratings or the ratings of our subsidiaries could have a material adverse impact on us.</w:t>
      </w:r>
    </w:p>
    <w:p>
      <w:pPr>
        <w:spacing w:after="0" w:line="133" w:lineRule="exact"/>
        <w:rPr>
          <w:sz w:val="20"/>
          <w:szCs w:val="20"/>
          <w:color w:val="auto"/>
        </w:rPr>
      </w:pPr>
    </w:p>
    <w:p>
      <w:pPr>
        <w:ind w:left="1380" w:right="1419" w:firstLine="275"/>
        <w:spacing w:after="0" w:line="249" w:lineRule="auto"/>
        <w:rPr>
          <w:sz w:val="20"/>
          <w:szCs w:val="20"/>
          <w:color w:val="auto"/>
        </w:rPr>
      </w:pPr>
      <w:r>
        <w:rPr>
          <w:rFonts w:ascii="Times New Roman" w:cs="Times New Roman" w:eastAsia="Times New Roman" w:hAnsi="Times New Roman"/>
          <w:sz w:val="14"/>
          <w:szCs w:val="14"/>
          <w:color w:val="auto"/>
        </w:rPr>
        <w:t>Rating agencies continuously evaluate us and our subsidiaries, and their ratings of our long-term and short-term debt are based on a number of factors, including financial strength, as well as factors not entirely within our control, such as conditions affecting the financial services industry generally. In light of these reviews and the continued focus on the financial services industry generally, we and our subsidiaries may not be able to maintain our current credit ratings. Ratings downgrades by a rating agency could have a significant and immediate impact on our funding and liquidity through cash obligations, reduced funding capacity and collateral triggers. A reduction in our or our subsidiaries’ credit ratings could also increase our borrowing costs and limit access to the capital markets.</w:t>
      </w:r>
    </w:p>
    <w:p>
      <w:pPr>
        <w:spacing w:after="0" w:line="86" w:lineRule="exact"/>
        <w:rPr>
          <w:sz w:val="20"/>
          <w:szCs w:val="20"/>
          <w:color w:val="auto"/>
        </w:rPr>
      </w:pPr>
    </w:p>
    <w:p>
      <w:pPr>
        <w:ind w:left="1380" w:right="1519" w:firstLine="275"/>
        <w:spacing w:after="0" w:line="250" w:lineRule="auto"/>
        <w:rPr>
          <w:sz w:val="20"/>
          <w:szCs w:val="20"/>
          <w:color w:val="auto"/>
        </w:rPr>
      </w:pPr>
      <w:r>
        <w:rPr>
          <w:rFonts w:ascii="Times New Roman" w:cs="Times New Roman" w:eastAsia="Times New Roman" w:hAnsi="Times New Roman"/>
          <w:sz w:val="14"/>
          <w:szCs w:val="14"/>
          <w:color w:val="auto"/>
        </w:rPr>
        <w:t>Downgrades in the credit or financial strength ratings assigned to the counterparties with whom we transact could create the perception that our financial condition will be adversely impacted as a result of potential future defaults by such counterparties. Additionally, we could be adversely affected by a general, negative perception of financial institutions caused by the downgrade of other financial institutions. Accordingly, ratings downgrades for other financial institutions could affect the market price of our stock and could limit our access to or increase our cost of capital.</w:t>
      </w:r>
    </w:p>
    <w:p>
      <w:pPr>
        <w:spacing w:after="0" w:line="1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Investors should not rely on indicative or historical data concerning SOFR.</w:t>
      </w:r>
    </w:p>
    <w:p>
      <w:pPr>
        <w:spacing w:after="0" w:line="121" w:lineRule="exact"/>
        <w:rPr>
          <w:sz w:val="20"/>
          <w:szCs w:val="20"/>
          <w:color w:val="auto"/>
        </w:rPr>
      </w:pPr>
    </w:p>
    <w:p>
      <w:pPr>
        <w:ind w:left="1380" w:right="1399" w:firstLine="275"/>
        <w:spacing w:after="0" w:line="250" w:lineRule="auto"/>
        <w:rPr>
          <w:sz w:val="20"/>
          <w:szCs w:val="20"/>
          <w:color w:val="auto"/>
        </w:rPr>
      </w:pPr>
      <w:r>
        <w:rPr>
          <w:rFonts w:ascii="Times New Roman" w:cs="Times New Roman" w:eastAsia="Times New Roman" w:hAnsi="Times New Roman"/>
          <w:sz w:val="14"/>
          <w:szCs w:val="14"/>
          <w:color w:val="auto"/>
        </w:rPr>
        <w:t>The interest rate during the Floating Interest Period will be determined using Three-Month Term SOFR (unless a Benchmark Transition Event and its related Benchmark Replacement Date occur with respect to Three-Month Term SOFR, in which case the rate of interest will be based on the next-available Benchmark Replacement, which is the sum of Compounded SOFR and the Benchmark Replacement Adjustment). In the following discussion of SOFR, when we refer to the notes, we mean the notes at any time during the Floating Interest Period when the interest rate on the notes is or will be determined based on SOFR, including Three-Month Term SOFR.</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1" w:name="page22"/>
    <w:bookmarkEnd w:id="21"/>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379" w:firstLine="275"/>
        <w:spacing w:after="0"/>
        <w:rPr>
          <w:sz w:val="20"/>
          <w:szCs w:val="20"/>
          <w:color w:val="auto"/>
        </w:rPr>
      </w:pPr>
      <w:r>
        <w:rPr>
          <w:rFonts w:ascii="Times New Roman" w:cs="Times New Roman" w:eastAsia="Times New Roman" w:hAnsi="Times New Roman"/>
          <w:sz w:val="14"/>
          <w:szCs w:val="14"/>
          <w:color w:val="auto"/>
        </w:rPr>
        <w:t>SOFR is published by the Federal Reserve Bank of New York (“FRBNY”) and is intended to be a broad measure of the cost of borrowing cash overnight collateralized by U.S. Treasury securities. FRBNY reports that SOFR includes all trades in the Broad General Collateral Rate, plus bilateral U.S. Treasury repurchase agreement (“repo”) transactions cleared through the delivery-versus-payment service offered by the Fixed Income Clearing Corporation (the “FICC”), a subsidiary of DTC. SOFR is filtered by FRBNY to remove a portion of the foregoing transactions considered to be “specials.” According to FRBNY, “specials” are repos for specific-issue collateral which take place at cash-lending rates below those for general collateral repos because cash providers are willing to accept a lesser return on their cash in order to obtain a particular security.</w:t>
      </w:r>
    </w:p>
    <w:p>
      <w:pPr>
        <w:spacing w:after="0" w:line="247" w:lineRule="exact"/>
        <w:rPr>
          <w:sz w:val="20"/>
          <w:szCs w:val="20"/>
          <w:color w:val="auto"/>
        </w:rPr>
      </w:pPr>
    </w:p>
    <w:p>
      <w:pPr>
        <w:ind w:left="1380" w:right="1439" w:firstLine="275"/>
        <w:spacing w:after="0"/>
        <w:rPr>
          <w:sz w:val="20"/>
          <w:szCs w:val="20"/>
          <w:color w:val="auto"/>
        </w:rPr>
      </w:pPr>
      <w:r>
        <w:rPr>
          <w:rFonts w:ascii="Times New Roman" w:cs="Times New Roman" w:eastAsia="Times New Roman" w:hAnsi="Times New Roman"/>
          <w:sz w:val="14"/>
          <w:szCs w:val="14"/>
          <w:color w:val="auto"/>
        </w:rPr>
        <w:t>FRBNY reports that SOFR is calculated as a volume-weighted median of transaction-level tri -party repo data collected from The Bank of New York Mellon, which currently acts as the clearing bank for the tri-party repo market, as well as General Collateral Finance Repo transaction data and data on bilateral U.S. Treasury repo transactions cleared through the FICC’s delivery-versus-payment service. FRBNY states that it obtains information from DTCC Solutions LLC, an affiliate of DTC.</w:t>
      </w:r>
    </w:p>
    <w:p>
      <w:pPr>
        <w:spacing w:after="0" w:line="92" w:lineRule="exact"/>
        <w:rPr>
          <w:sz w:val="20"/>
          <w:szCs w:val="20"/>
          <w:color w:val="auto"/>
        </w:rPr>
      </w:pPr>
    </w:p>
    <w:p>
      <w:pPr>
        <w:ind w:left="1380" w:right="1459" w:firstLine="275"/>
        <w:spacing w:after="0" w:line="239" w:lineRule="auto"/>
        <w:rPr>
          <w:sz w:val="20"/>
          <w:szCs w:val="20"/>
          <w:color w:val="auto"/>
        </w:rPr>
      </w:pPr>
      <w:r>
        <w:rPr>
          <w:rFonts w:ascii="Times New Roman" w:cs="Times New Roman" w:eastAsia="Times New Roman" w:hAnsi="Times New Roman"/>
          <w:sz w:val="14"/>
          <w:szCs w:val="14"/>
          <w:color w:val="auto"/>
        </w:rPr>
        <w:t>FRBNY currently publishes SOFR daily on its website at https://www.newyorkfed.org/markets/reference-rates/sofr. FRBNY states on its publication page for SOFR that use of SOFR is subject to important disclaimers, limitations and indemnification obligations, including that FRBNY may alter the methods of calculation, publication schedule, rate revision practices or availability of SOFR at any time without notice. The foregoing Internet website is an inactive textual reference only, meaning that the information contained on the website is not part of this document or incorporated by reference herein or therein.</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Changes in SOFR could adversely affect holders of the notes.</w:t>
      </w:r>
    </w:p>
    <w:p>
      <w:pPr>
        <w:spacing w:after="0" w:line="111" w:lineRule="exact"/>
        <w:rPr>
          <w:sz w:val="20"/>
          <w:szCs w:val="20"/>
          <w:color w:val="auto"/>
        </w:rPr>
      </w:pPr>
    </w:p>
    <w:p>
      <w:pPr>
        <w:ind w:left="1380" w:right="1399" w:firstLine="275"/>
        <w:spacing w:after="0" w:line="238" w:lineRule="auto"/>
        <w:rPr>
          <w:sz w:val="20"/>
          <w:szCs w:val="20"/>
          <w:color w:val="auto"/>
        </w:rPr>
      </w:pPr>
      <w:r>
        <w:rPr>
          <w:rFonts w:ascii="Times New Roman" w:cs="Times New Roman" w:eastAsia="Times New Roman" w:hAnsi="Times New Roman"/>
          <w:sz w:val="14"/>
          <w:szCs w:val="14"/>
          <w:color w:val="auto"/>
        </w:rPr>
        <w:t>Because SOFR is published by FRBNY based on data received from other sources, we have no control over its determination, calculation or publication. There is no assurance that SOFR will not be discontinued or fundamentally altered in a manner that is materially adverse to the interests of investors in the notes. If the manner in which SOFR is calculated is changed, that change may result in a reduction in the amount of interest that accrues on the notes during the Floating Interest Period, which may adversely affect the trading prices of the notes. Further, if the Benchmark rate on the notes during the Floating Interest Period on any determination date declines to zero or becomes negative, the interest rate will be deemed to equal zero. In addition, once the Benchmark rate for the notes for each interest period during the Floating Interest Period is determined by the calculation agent on the determination date, interest on the notes shall accrue at such Benchmark rate for the applicable interest period and will not be subject to change during such interest period. There is no assurance that changes in SOFR could not have a material adverse effect on the yield on, value of and market for the notes.</w:t>
      </w:r>
    </w:p>
    <w:p>
      <w:pPr>
        <w:spacing w:after="0" w:line="14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Term SOFR and SOFR may be more volatile than other benchmark or market rates.</w:t>
      </w:r>
    </w:p>
    <w:p>
      <w:pPr>
        <w:spacing w:after="0" w:line="121" w:lineRule="exact"/>
        <w:rPr>
          <w:sz w:val="20"/>
          <w:szCs w:val="20"/>
          <w:color w:val="auto"/>
        </w:rPr>
      </w:pPr>
    </w:p>
    <w:p>
      <w:pPr>
        <w:ind w:left="1380" w:right="1399" w:firstLine="275"/>
        <w:spacing w:after="0" w:line="238" w:lineRule="auto"/>
        <w:rPr>
          <w:sz w:val="20"/>
          <w:szCs w:val="20"/>
          <w:color w:val="auto"/>
        </w:rPr>
      </w:pPr>
      <w:r>
        <w:rPr>
          <w:rFonts w:ascii="Times New Roman" w:cs="Times New Roman" w:eastAsia="Times New Roman" w:hAnsi="Times New Roman"/>
          <w:sz w:val="14"/>
          <w:szCs w:val="14"/>
          <w:color w:val="auto"/>
        </w:rPr>
        <w:t>Since the initial publication of SOFR, daily changes in the rate have, on occasion, been more volatile than daily changes in other benchmark or market rates during corresponding periods, and SOFR may bear little or no relation to the historical actual or indicative data. In addition, although changes in Three-Month Term SOFR and Compounded SOFR generally are not expected to be as volatile as changes in daily levels of SOFR, the return on and value of the notes may fluctuate more than floating rate securities that are linked to less volatile rates.</w:t>
      </w:r>
    </w:p>
    <w:p>
      <w:pPr>
        <w:spacing w:after="0" w:line="151" w:lineRule="exact"/>
        <w:rPr>
          <w:sz w:val="20"/>
          <w:szCs w:val="20"/>
          <w:color w:val="auto"/>
        </w:rPr>
      </w:pPr>
    </w:p>
    <w:p>
      <w:pPr>
        <w:ind w:left="1380" w:right="16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The interest rate for the notes during the applicable Floating Interest Period may be determined based on a rate other than Three-Month Term SOFR.</w:t>
      </w:r>
    </w:p>
    <w:p>
      <w:pPr>
        <w:spacing w:after="0" w:line="75" w:lineRule="exact"/>
        <w:rPr>
          <w:sz w:val="20"/>
          <w:szCs w:val="20"/>
          <w:color w:val="auto"/>
        </w:rPr>
      </w:pPr>
    </w:p>
    <w:p>
      <w:pPr>
        <w:ind w:left="1380" w:right="1399" w:firstLine="275"/>
        <w:spacing w:after="0" w:line="239" w:lineRule="auto"/>
        <w:rPr>
          <w:sz w:val="20"/>
          <w:szCs w:val="20"/>
          <w:color w:val="auto"/>
        </w:rPr>
      </w:pPr>
      <w:r>
        <w:rPr>
          <w:rFonts w:ascii="Times New Roman" w:cs="Times New Roman" w:eastAsia="Times New Roman" w:hAnsi="Times New Roman"/>
          <w:sz w:val="14"/>
          <w:szCs w:val="14"/>
          <w:color w:val="auto"/>
        </w:rPr>
        <w:t>Under the terms of the notes, the interest rate on the notes for each interest period during the applicable Floating Interest Period will be based on Three-Month Term SOFR, a forward-looking term rate for a tenor of three months that will be based on SOFR. SOFR has a very limited history, and the future performance of SOFR cannot be predicted based on its limited historical performance. The level of SOFR during the applicable Floating Interest Period for the notes may bear little or no relation to historical actual or indicative data. Prior observed patterns, if any, in the behavior of market variables and their relation to SOFR, such as correlations, may change in the future. While some pre-publication historical data have been</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2" w:name="page23"/>
    <w:bookmarkEnd w:id="22"/>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499"/>
        <w:spacing w:after="0" w:line="250" w:lineRule="auto"/>
        <w:rPr>
          <w:sz w:val="20"/>
          <w:szCs w:val="20"/>
          <w:color w:val="auto"/>
        </w:rPr>
      </w:pPr>
      <w:r>
        <w:rPr>
          <w:rFonts w:ascii="Times New Roman" w:cs="Times New Roman" w:eastAsia="Times New Roman" w:hAnsi="Times New Roman"/>
          <w:sz w:val="14"/>
          <w:szCs w:val="14"/>
          <w:color w:val="auto"/>
        </w:rPr>
        <w:t>released by the FRBNY, such analysis inherently involves assumptions, estimates and approximations, and hypothetical or historical performance data are not indicative of, and have no bearing on, the potential performance of SOFR. The future performance of SOFR is therefore impossible to predict, and no future performance of SOFR may be inferred from any of the historical actual or indicative data. Changes in the levels of SOFR will affect the interest rate of the notes during the applicable Floating Interest Period and accordingly will affect the return on the notes and the market price of the notes, but it is impossible to predict whether such levels will rise or fall.</w:t>
      </w:r>
    </w:p>
    <w:p>
      <w:pPr>
        <w:spacing w:after="0" w:line="94" w:lineRule="exact"/>
        <w:rPr>
          <w:sz w:val="20"/>
          <w:szCs w:val="20"/>
          <w:color w:val="auto"/>
        </w:rPr>
      </w:pPr>
    </w:p>
    <w:p>
      <w:pPr>
        <w:ind w:left="1380" w:right="1519" w:firstLine="275"/>
        <w:spacing w:after="0" w:line="250" w:lineRule="auto"/>
        <w:rPr>
          <w:sz w:val="20"/>
          <w:szCs w:val="20"/>
          <w:color w:val="auto"/>
        </w:rPr>
      </w:pPr>
      <w:r>
        <w:rPr>
          <w:rFonts w:ascii="Times New Roman" w:cs="Times New Roman" w:eastAsia="Times New Roman" w:hAnsi="Times New Roman"/>
          <w:sz w:val="14"/>
          <w:szCs w:val="14"/>
          <w:color w:val="auto"/>
        </w:rPr>
        <w:t>Under the terms of the notes, we are expressly authorized to make determinations, decisions or elections with respect to technical, administrative or operational matters that we decide are appropriate to reflect the use of Three-Month Term SOFR as the interest rate basis for the notes, which are defined in the terms of the notes as “Three-Month Term SOFR Conventions.” Our determination and implementation of any Three-Month Term SOFR Conventions could result in adverse consequences to the amount of interest that accrues on the notes during the applicable Floating Interest Period, which could adversely affect the return on, value of and market for the notes.</w:t>
      </w:r>
    </w:p>
    <w:p>
      <w:pPr>
        <w:spacing w:after="0" w:line="14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Any Benchmark Replacement may not be the economic equivalent of Three-Month Term SOFR.</w:t>
      </w:r>
    </w:p>
    <w:p>
      <w:pPr>
        <w:spacing w:after="0" w:line="121" w:lineRule="exact"/>
        <w:rPr>
          <w:sz w:val="20"/>
          <w:szCs w:val="20"/>
          <w:color w:val="auto"/>
        </w:rPr>
      </w:pPr>
    </w:p>
    <w:p>
      <w:pPr>
        <w:ind w:left="1380" w:right="1379" w:firstLine="275"/>
        <w:spacing w:after="0" w:line="248" w:lineRule="auto"/>
        <w:rPr>
          <w:sz w:val="20"/>
          <w:szCs w:val="20"/>
          <w:color w:val="auto"/>
        </w:rPr>
      </w:pPr>
      <w:r>
        <w:rPr>
          <w:rFonts w:ascii="Times New Roman" w:cs="Times New Roman" w:eastAsia="Times New Roman" w:hAnsi="Times New Roman"/>
          <w:sz w:val="14"/>
          <w:szCs w:val="14"/>
          <w:color w:val="auto"/>
        </w:rPr>
        <w:t>Under the benchmark transition provisions of the notes, if the calculation agent determines that a Benchmark Transition Event and its related Benchmark Replacement Date have occurred with respect to Three-Month Term SOFR, then the floating interest rate on the notes for each interest period during the Floating Interest Period will be determined using the next-available Benchmark Replacement (which may include a related Benchmark Replacement Adjustment). However, the Benchmark Replacement may not be the economic equivalent of Three-Month Term SOFR. For example, Compounded SOFR, which is used as part of the first-available Benchmark Replacement, is the compounded average of the daily SOFR calculated in arrears, while Three-Month Term SOFR is intended to be a forward-looking rate with a tenor of</w:t>
      </w:r>
    </w:p>
    <w:p>
      <w:pPr>
        <w:spacing w:after="0" w:line="2" w:lineRule="exact"/>
        <w:rPr>
          <w:sz w:val="20"/>
          <w:szCs w:val="20"/>
          <w:color w:val="auto"/>
        </w:rPr>
      </w:pPr>
    </w:p>
    <w:p>
      <w:pPr>
        <w:ind w:left="1380" w:right="1399"/>
        <w:spacing w:after="0" w:line="251" w:lineRule="auto"/>
        <w:rPr>
          <w:sz w:val="20"/>
          <w:szCs w:val="20"/>
          <w:color w:val="auto"/>
        </w:rPr>
      </w:pPr>
      <w:r>
        <w:rPr>
          <w:rFonts w:ascii="Times New Roman" w:cs="Times New Roman" w:eastAsia="Times New Roman" w:hAnsi="Times New Roman"/>
          <w:sz w:val="14"/>
          <w:szCs w:val="14"/>
          <w:color w:val="auto"/>
        </w:rPr>
        <w:t>three months. Further, the ISDA Fallback Rate, which is another Benchmark Replacement, may change over time.</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i w:val="1"/>
          <w:iCs w:val="1"/>
          <w:color w:val="auto"/>
        </w:rPr>
        <w:t>The implementation of Benchmark Replacement Conforming Changes could adversely affect holders of the notes.</w:t>
      </w:r>
    </w:p>
    <w:p>
      <w:pPr>
        <w:spacing w:after="0" w:line="122" w:lineRule="exact"/>
        <w:rPr>
          <w:sz w:val="20"/>
          <w:szCs w:val="20"/>
          <w:color w:val="auto"/>
        </w:rPr>
      </w:pPr>
    </w:p>
    <w:p>
      <w:pPr>
        <w:ind w:left="1380" w:right="1459" w:firstLine="275"/>
        <w:spacing w:after="0" w:line="247" w:lineRule="auto"/>
        <w:rPr>
          <w:sz w:val="20"/>
          <w:szCs w:val="20"/>
          <w:color w:val="auto"/>
        </w:rPr>
      </w:pPr>
      <w:r>
        <w:rPr>
          <w:rFonts w:ascii="Times New Roman" w:cs="Times New Roman" w:eastAsia="Times New Roman" w:hAnsi="Times New Roman"/>
          <w:sz w:val="14"/>
          <w:szCs w:val="14"/>
          <w:color w:val="auto"/>
        </w:rPr>
        <w:t>Under the benchmark transition provisions of the notes, if Three-Month Term SOFR has been discontinued or if a particular Benchmark Replacement or Benchmark Replacement Adjustment cannot be determined, then the next-available Benchmark Replacement or Benchmark Replacement Adjustment will apply. These replacement rates and adjustments may be selected or formulated by: (i) the Relevant Governmental Body; (ii) ISDA; or (iii) in certain circumstances, us. In addition, the benchmark transition provisions expressly authorize us to make certain changes, which are defined in the terms of the notes as “Benchmark Replacement Conforming Changes,” with respect to, among other things, the determination of interest periods, and the timing and frequency of determining rates and making payments of interest. The application of a Benchmark Replacement and Benchmark Replacement Adjustment, and any implementation of Benchmark Replacement Conforming Changes, could result in adverse consequences to the amount of interest that accrues on the notes during any interest period during the Floating Interest Period, which could adversely affect the yield on, value of and market for the notes. Further, there is no assurance that the characteristics of any Benchmark Replacement will be similar to the then-current Benchmark rate that it is replacing, or that any Benchmark Replacement will produce the economic equivalent of the then-current Benchmark rate that it is replacing.</w:t>
      </w:r>
    </w:p>
    <w:p>
      <w:pPr>
        <w:spacing w:after="0" w:line="101" w:lineRule="exact"/>
        <w:rPr>
          <w:sz w:val="20"/>
          <w:szCs w:val="20"/>
          <w:color w:val="auto"/>
        </w:rPr>
      </w:pPr>
    </w:p>
    <w:p>
      <w:pPr>
        <w:ind w:left="1380" w:right="1399" w:firstLine="275"/>
        <w:spacing w:after="0" w:line="249" w:lineRule="auto"/>
        <w:rPr>
          <w:sz w:val="20"/>
          <w:szCs w:val="20"/>
          <w:color w:val="auto"/>
        </w:rPr>
      </w:pPr>
      <w:r>
        <w:rPr>
          <w:rFonts w:ascii="Times New Roman" w:cs="Times New Roman" w:eastAsia="Times New Roman" w:hAnsi="Times New Roman"/>
          <w:sz w:val="14"/>
          <w:szCs w:val="14"/>
          <w:color w:val="auto"/>
        </w:rPr>
        <w:t>Also, since SOFR is a relatively new market index, SOFR-linked debt securities likely will have no established trading market when issued, and an established trading market may never develop or may not be very liquid. Market terms for debt securities indexed to SOFR, such as the spread over the index reflected in interest rate provisions, may evolve over time, and trading prices of the notes may be lower than those of later-issued SOFR-linked debt securities as a result. Similarly, if SOFR does not prove to be widely used in securities similar to the notes, the trading price of the notes may be lower than those of debt securities linked to such rates that are more widely used. Debt securities indexed to SOFR (as the notes will be) may not be able to be sold at all or may not be able to be sold at prices that will provide a yield comparable to</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3" w:name="page24"/>
    <w:bookmarkEnd w:id="23"/>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559"/>
        <w:spacing w:after="0" w:line="271" w:lineRule="auto"/>
        <w:rPr>
          <w:sz w:val="20"/>
          <w:szCs w:val="20"/>
          <w:color w:val="auto"/>
        </w:rPr>
      </w:pPr>
      <w:r>
        <w:rPr>
          <w:rFonts w:ascii="Times New Roman" w:cs="Times New Roman" w:eastAsia="Times New Roman" w:hAnsi="Times New Roman"/>
          <w:sz w:val="14"/>
          <w:szCs w:val="14"/>
          <w:color w:val="auto"/>
        </w:rPr>
        <w:t>similar investments that have a developed secondary market, and may consequently suffer from increased pricing volatility and market risk.</w:t>
      </w:r>
    </w:p>
    <w:p>
      <w:pPr>
        <w:spacing w:after="0" w:line="127" w:lineRule="exact"/>
        <w:rPr>
          <w:sz w:val="20"/>
          <w:szCs w:val="20"/>
          <w:color w:val="auto"/>
        </w:rPr>
      </w:pPr>
    </w:p>
    <w:p>
      <w:pPr>
        <w:ind w:left="1380" w:right="16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or an affiliate of ours will or could have authority to make determinations and elections that could affect the return on, value of and market for the notes.</w:t>
      </w:r>
    </w:p>
    <w:p>
      <w:pPr>
        <w:spacing w:after="0" w:line="75" w:lineRule="exact"/>
        <w:rPr>
          <w:sz w:val="20"/>
          <w:szCs w:val="20"/>
          <w:color w:val="auto"/>
        </w:rPr>
      </w:pPr>
    </w:p>
    <w:p>
      <w:pPr>
        <w:ind w:left="1380" w:right="1399" w:firstLine="275"/>
        <w:spacing w:after="0" w:line="247" w:lineRule="auto"/>
        <w:rPr>
          <w:sz w:val="20"/>
          <w:szCs w:val="20"/>
          <w:color w:val="auto"/>
        </w:rPr>
      </w:pPr>
      <w:r>
        <w:rPr>
          <w:rFonts w:ascii="Times New Roman" w:cs="Times New Roman" w:eastAsia="Times New Roman" w:hAnsi="Times New Roman"/>
          <w:sz w:val="14"/>
          <w:szCs w:val="14"/>
          <w:color w:val="auto"/>
        </w:rPr>
        <w:t>Under the terms of the notes, we may make certain determinations, decisions and elections with respect to the Benchmark rate on the notes during the Floating Interest Period, including, without limitation, any determination, decision or election required to be made by the calculation agent that the calculation agent fails to make. We will make any such determination, decision or election in our sole discretion, and any such determination, decision or election that we make could affect the amount of interest that accrues on the notes during any interest period in the Floating Interest Period. If the calculation agent fails, when required, to make a determination that a Benchmark Transition Event and its related Benchmark Replacement Date have occurred, or fails, when required, to determine the Benchmark Replacement and Benchmark Replacement Adjustment, then we will make those determinations in our sole discretion. Furthermore, we or an affiliate of ours may assume the duties of calculation agent. We will act as the initial calculation agent and we cannot assure you that we will appoint an independent third-party calculation agent at any time. Any exercise of discretion by us under the terms of the notes, including, without limitation, any discretion exercised by us or by an affiliate acting as calculation agent, could present a conflict of interest. In making the required determinations, decisions and elections, we or an affiliate of ours acting as calculation agent may have economic interests that are adverse to the interest of the holders of the notes, and those determinations, decisions or elections could have a material adverse effect on the yield on, value of and market for the notes. All determinations, decisions or elections by us, or by us or an affiliate acting as calculation agent, under the terms of the notes will be conclusive and binding absent manifest error.</w:t>
      </w:r>
    </w:p>
    <w:p>
      <w:pPr>
        <w:spacing w:after="0" w:line="14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The notes may be issued with original issue discount for U.S. federal income tax purposes.</w:t>
      </w:r>
    </w:p>
    <w:p>
      <w:pPr>
        <w:spacing w:after="0" w:line="121" w:lineRule="exact"/>
        <w:rPr>
          <w:sz w:val="20"/>
          <w:szCs w:val="20"/>
          <w:color w:val="auto"/>
        </w:rPr>
      </w:pPr>
    </w:p>
    <w:p>
      <w:pPr>
        <w:ind w:left="1380" w:right="1679" w:firstLine="275"/>
        <w:spacing w:after="0" w:line="252" w:lineRule="auto"/>
        <w:rPr>
          <w:sz w:val="20"/>
          <w:szCs w:val="20"/>
          <w:color w:val="auto"/>
        </w:rPr>
      </w:pPr>
      <w:r>
        <w:rPr>
          <w:rFonts w:ascii="Times New Roman" w:cs="Times New Roman" w:eastAsia="Times New Roman" w:hAnsi="Times New Roman"/>
          <w:sz w:val="14"/>
          <w:szCs w:val="14"/>
          <w:color w:val="auto"/>
        </w:rPr>
        <w:t>The notes may be issued with original issue discount for U.S. federal income tax purposes. In such case, holders subject to U.S. federal income taxation, whether on the cash or accrual method of tax accounting, generally would be required to include any amounts representing original issue discount in gross income (as ordinary income) as the original issue discount accrues on a constant yield to maturity basis, in advance of the receipt of cash payments to which such income is attributable.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4" w:name="page25"/>
    <w:bookmarkEnd w:id="24"/>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1" w:lineRule="exact"/>
        <w:rPr>
          <w:sz w:val="20"/>
          <w:szCs w:val="20"/>
          <w:color w:val="auto"/>
        </w:rPr>
      </w:pPr>
    </w:p>
    <w:p>
      <w:pPr>
        <w:ind w:left="1380" w:right="1519" w:firstLine="275"/>
        <w:spacing w:after="0" w:line="258" w:lineRule="auto"/>
        <w:rPr>
          <w:sz w:val="20"/>
          <w:szCs w:val="20"/>
          <w:color w:val="auto"/>
        </w:rPr>
      </w:pPr>
      <w:r>
        <w:rPr>
          <w:rFonts w:ascii="Times New Roman" w:cs="Times New Roman" w:eastAsia="Times New Roman" w:hAnsi="Times New Roman"/>
          <w:sz w:val="14"/>
          <w:szCs w:val="14"/>
          <w:color w:val="auto"/>
        </w:rPr>
        <w:t>We will not receive any cash proceeds from the exchange offer. In consideration for issuing the New Notes as contemplated by this prospectus, we will receive in exchange Old Notes in like principal amount. We intend to cancel all Old Notes received in exchange for New Notes in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5" w:name="page26"/>
    <w:bookmarkEnd w:id="25"/>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EXCHANGE OFFER</w:t>
      </w:r>
    </w:p>
    <w:p>
      <w:pPr>
        <w:spacing w:after="0" w:line="16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1" w:lineRule="exact"/>
        <w:rPr>
          <w:sz w:val="20"/>
          <w:szCs w:val="20"/>
          <w:color w:val="auto"/>
        </w:rPr>
      </w:pPr>
    </w:p>
    <w:p>
      <w:pPr>
        <w:ind w:left="1380" w:right="1479" w:firstLine="275"/>
        <w:spacing w:after="0" w:line="253" w:lineRule="auto"/>
        <w:rPr>
          <w:sz w:val="20"/>
          <w:szCs w:val="20"/>
          <w:color w:val="auto"/>
        </w:rPr>
      </w:pPr>
      <w:r>
        <w:rPr>
          <w:rFonts w:ascii="Times New Roman" w:cs="Times New Roman" w:eastAsia="Times New Roman" w:hAnsi="Times New Roman"/>
          <w:sz w:val="14"/>
          <w:szCs w:val="14"/>
          <w:color w:val="auto"/>
        </w:rPr>
        <w:t>In connection with the issuance of the Old Notes on March 11, 2026, we entered into a registration rights agreement with the initial purchasers of the Old Notes, which provides for the exchange offer we are making pursuant to this prospectus. The exchange offer will permit eligible holders of Old Notes to exchange their Old Notes for New Notes that are identical in all material respects with the Old Notes, except that:</w:t>
      </w:r>
    </w:p>
    <w:p>
      <w:pPr>
        <w:spacing w:after="0" w:line="228" w:lineRule="exact"/>
        <w:rPr>
          <w:sz w:val="20"/>
          <w:szCs w:val="20"/>
          <w:color w:val="auto"/>
        </w:rPr>
      </w:pPr>
    </w:p>
    <w:p>
      <w:pPr>
        <w:ind w:left="1780" w:right="1519" w:hanging="134"/>
        <w:spacing w:after="0" w:line="271"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Notes have been registered with the SEC under the Securities Act and, as a result, will not bear any legend restricting their transfer;</w:t>
      </w:r>
    </w:p>
    <w:p>
      <w:pPr>
        <w:spacing w:after="0" w:line="48"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Notes bear different CUSIP numbers from the Old Notes;</w:t>
      </w:r>
    </w:p>
    <w:p>
      <w:pPr>
        <w:spacing w:after="0" w:line="86"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Notes generally will not be subject to transfer restrictions;</w:t>
      </w:r>
    </w:p>
    <w:p>
      <w:pPr>
        <w:spacing w:after="0" w:line="86" w:lineRule="exact"/>
        <w:rPr>
          <w:rFonts w:ascii="Times New Roman" w:cs="Times New Roman" w:eastAsia="Times New Roman" w:hAnsi="Times New Roman"/>
          <w:sz w:val="14"/>
          <w:szCs w:val="14"/>
          <w:color w:val="auto"/>
        </w:rPr>
      </w:pPr>
    </w:p>
    <w:p>
      <w:pPr>
        <w:ind w:left="1780" w:right="1619" w:hanging="134"/>
        <w:spacing w:after="0" w:line="271"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Notes will not be entitled to registration rights under the registration rights agreement or otherwise; and</w:t>
      </w:r>
    </w:p>
    <w:p>
      <w:pPr>
        <w:spacing w:after="0" w:line="48" w:lineRule="exact"/>
        <w:rPr>
          <w:rFonts w:ascii="Times New Roman" w:cs="Times New Roman" w:eastAsia="Times New Roman" w:hAnsi="Times New Roman"/>
          <w:sz w:val="14"/>
          <w:szCs w:val="14"/>
          <w:color w:val="auto"/>
        </w:rPr>
      </w:pPr>
    </w:p>
    <w:p>
      <w:pPr>
        <w:ind w:left="1780" w:right="1539" w:hanging="134"/>
        <w:spacing w:after="0" w:line="258"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New Notes will not be entitled to registration rights, holders of the New Notes will not have the right to additional interest under the circumstances described in the registration rights agreement relating to our fulfillment of our registration obligations.</w:t>
      </w:r>
    </w:p>
    <w:p>
      <w:pPr>
        <w:spacing w:after="0" w:line="89" w:lineRule="exact"/>
        <w:rPr>
          <w:sz w:val="20"/>
          <w:szCs w:val="20"/>
          <w:color w:val="auto"/>
        </w:rPr>
      </w:pPr>
    </w:p>
    <w:p>
      <w:pPr>
        <w:ind w:left="1380" w:right="1499" w:firstLine="275"/>
        <w:spacing w:after="0" w:line="252" w:lineRule="auto"/>
        <w:rPr>
          <w:sz w:val="20"/>
          <w:szCs w:val="20"/>
          <w:color w:val="auto"/>
        </w:rPr>
      </w:pPr>
      <w:r>
        <w:rPr>
          <w:rFonts w:ascii="Times New Roman" w:cs="Times New Roman" w:eastAsia="Times New Roman" w:hAnsi="Times New Roman"/>
          <w:sz w:val="14"/>
          <w:szCs w:val="14"/>
          <w:color w:val="auto"/>
        </w:rPr>
        <w:t>The New Notes will evidence the same debt as the Old Notes. Holders of the New Notes will be entitled to the benefits of the indenture. Accordingly, the New Notes and the Old Notes will be treated as a single series of debt securities under the indenture. Old Notes that are not tendered for exchange in the exchange offer will remain outstanding and interest on those Old Notes will continue to accrue at the applicable interest rate and be subject to the terms of the indenture.</w:t>
      </w:r>
    </w:p>
    <w:p>
      <w:pPr>
        <w:spacing w:after="0" w:line="82" w:lineRule="exact"/>
        <w:rPr>
          <w:sz w:val="20"/>
          <w:szCs w:val="20"/>
          <w:color w:val="auto"/>
        </w:rPr>
      </w:pPr>
    </w:p>
    <w:p>
      <w:pPr>
        <w:ind w:left="1380" w:right="1539" w:firstLine="275"/>
        <w:spacing w:after="0" w:line="271" w:lineRule="auto"/>
        <w:rPr>
          <w:sz w:val="20"/>
          <w:szCs w:val="20"/>
          <w:color w:val="auto"/>
        </w:rPr>
      </w:pPr>
      <w:r>
        <w:rPr>
          <w:rFonts w:ascii="Times New Roman" w:cs="Times New Roman" w:eastAsia="Times New Roman" w:hAnsi="Times New Roman"/>
          <w:sz w:val="14"/>
          <w:szCs w:val="14"/>
          <w:color w:val="auto"/>
        </w:rPr>
        <w:t>The exchange offer does not depend on any minimum aggregate principal amount of Old Notes being tendered for exchange.</w:t>
      </w:r>
    </w:p>
    <w:p>
      <w:pPr>
        <w:spacing w:after="0" w:line="80" w:lineRule="exact"/>
        <w:rPr>
          <w:sz w:val="20"/>
          <w:szCs w:val="20"/>
          <w:color w:val="auto"/>
        </w:rPr>
      </w:pPr>
    </w:p>
    <w:p>
      <w:pPr>
        <w:ind w:left="1380" w:right="1439" w:firstLine="275"/>
        <w:spacing w:after="0" w:line="258" w:lineRule="auto"/>
        <w:rPr>
          <w:sz w:val="20"/>
          <w:szCs w:val="20"/>
          <w:color w:val="auto"/>
        </w:rPr>
      </w:pPr>
      <w:r>
        <w:rPr>
          <w:rFonts w:ascii="Times New Roman" w:cs="Times New Roman" w:eastAsia="Times New Roman" w:hAnsi="Times New Roman"/>
          <w:sz w:val="14"/>
          <w:szCs w:val="14"/>
          <w:color w:val="auto"/>
        </w:rPr>
        <w:t>We intend to conduct the exchange offer in accordance with the provisions of the registration rights agreement and the applicable requirements of the Exchange Act, and the related rules and regulations of the SEC applicable to transactions of this type.</w:t>
      </w:r>
    </w:p>
    <w:p>
      <w:pPr>
        <w:spacing w:after="0" w:line="89" w:lineRule="exact"/>
        <w:rPr>
          <w:sz w:val="20"/>
          <w:szCs w:val="20"/>
          <w:color w:val="auto"/>
        </w:rPr>
      </w:pPr>
    </w:p>
    <w:p>
      <w:pPr>
        <w:ind w:left="1380" w:right="1419" w:firstLine="275"/>
        <w:spacing w:after="0" w:line="249" w:lineRule="auto"/>
        <w:rPr>
          <w:sz w:val="20"/>
          <w:szCs w:val="20"/>
          <w:color w:val="auto"/>
        </w:rPr>
      </w:pPr>
      <w:r>
        <w:rPr>
          <w:rFonts w:ascii="Times New Roman" w:cs="Times New Roman" w:eastAsia="Times New Roman" w:hAnsi="Times New Roman"/>
          <w:sz w:val="14"/>
          <w:szCs w:val="14"/>
          <w:color w:val="auto"/>
        </w:rPr>
        <w:t>We will be deemed to have accepted validly tendered Old Notes when and if we have given oral or written notice to the exchange agent of our acceptance of such Old Notes. Subject to the terms and conditions of this exchange offer, delivery of New Notes will be made by the exchange agent promptly after receipt of our notice of acceptance. The exchange agent will act as agent for the holders of Old Notes tendering their Old Notes for the purpose of receiving New Notes from us in exchange for such tendered and accepted Old Notes. If any tendered Old Notes are not accepted for exchange because of an invalid tender, the occurrence of other events described in this prospectus or otherwise, we will return or cause to be returned the certificates for any unaccepted Old Notes, at our expense, to the tendering holder promptly after the expiration of the exchange offer.</w:t>
      </w:r>
    </w:p>
    <w:p>
      <w:pPr>
        <w:spacing w:after="0" w:line="84" w:lineRule="exact"/>
        <w:rPr>
          <w:sz w:val="20"/>
          <w:szCs w:val="20"/>
          <w:color w:val="auto"/>
        </w:rPr>
      </w:pPr>
    </w:p>
    <w:p>
      <w:pPr>
        <w:ind w:left="1380" w:right="1439" w:firstLine="275"/>
        <w:spacing w:after="0" w:line="250" w:lineRule="auto"/>
        <w:rPr>
          <w:sz w:val="20"/>
          <w:szCs w:val="20"/>
          <w:color w:val="auto"/>
        </w:rPr>
      </w:pPr>
      <w:r>
        <w:rPr>
          <w:rFonts w:ascii="Times New Roman" w:cs="Times New Roman" w:eastAsia="Times New Roman" w:hAnsi="Times New Roman"/>
          <w:sz w:val="14"/>
          <w:szCs w:val="14"/>
          <w:color w:val="auto"/>
        </w:rPr>
        <w:t>If a holder of Old Notes validly tenders Old Notes in the exchange offer, the tendering holder will not be required to pay us brokerage commissions or fees. In addition, subject to the instructions in the letter of transmittal and certain limited exceptions described in this prospectus, the tendering holder will not have to pay transfer taxes for the exchange of Old Notes. Subject to certain exceptions described in this prospectus, we will pay all of the expenses in connection with the exchange offer, other than certain applicable taxes. See “— Fees and Expenses.”</w:t>
      </w:r>
    </w:p>
    <w:p>
      <w:pPr>
        <w:spacing w:after="0" w:line="96" w:lineRule="exact"/>
        <w:rPr>
          <w:sz w:val="20"/>
          <w:szCs w:val="20"/>
          <w:color w:val="auto"/>
        </w:rPr>
      </w:pPr>
    </w:p>
    <w:p>
      <w:pPr>
        <w:ind w:left="1380" w:right="1419" w:firstLine="275"/>
        <w:spacing w:after="0" w:line="252" w:lineRule="auto"/>
        <w:rPr>
          <w:sz w:val="20"/>
          <w:szCs w:val="20"/>
          <w:color w:val="auto"/>
        </w:rPr>
      </w:pPr>
      <w:r>
        <w:rPr>
          <w:rFonts w:ascii="Times New Roman" w:cs="Times New Roman" w:eastAsia="Times New Roman" w:hAnsi="Times New Roman"/>
          <w:sz w:val="14"/>
          <w:szCs w:val="14"/>
          <w:color w:val="auto"/>
        </w:rPr>
        <w:t>Holders of outstanding Old Notes do not have any appraisal, dissenters’ or similar rights in connection with the exchange offer. Outstanding Old Notes which are not tendered, or are tendered but not accepted, in connection with the exchange offer will remain outstanding. See “Risk Factors — Risks Related to the Exchange Offer — If you do not properly tender your Old Notes, you will continue to hold unregistered Old Notes and your ability to transfer Old Notes will be adversely affected.”</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6" w:name="page27"/>
    <w:bookmarkEnd w:id="26"/>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80" w:right="1379" w:firstLine="275"/>
        <w:spacing w:after="0" w:line="271" w:lineRule="auto"/>
        <w:rPr>
          <w:sz w:val="20"/>
          <w:szCs w:val="20"/>
          <w:color w:val="auto"/>
        </w:rPr>
      </w:pPr>
      <w:r>
        <w:rPr>
          <w:rFonts w:ascii="Times New Roman" w:cs="Times New Roman" w:eastAsia="Times New Roman" w:hAnsi="Times New Roman"/>
          <w:sz w:val="13"/>
          <w:szCs w:val="13"/>
          <w:b w:val="1"/>
          <w:bCs w:val="1"/>
          <w:color w:val="auto"/>
        </w:rPr>
        <w:t>WE ARE NOT MAKING ANY RECOMMENDATION TO THE HOLDERS OF THE OUTSTANDING OLD NOTES AS TO WHETHER TO TENDER OR REFRAIN FROM TENDERING ALL OR ANY PORTION OF THEIR OUTSTANDING OLD NOTES IN THE EXCHANGE OFFER. IN ADDITION, WE HAVE NOT AUTHORIZED ANYONE TO MAKE ANY SUCH RECOMMENDATION. HOLDERS OF THE OUTSTANDING OLD NOTES MUST MAKE THEIR OWN DECISION WHETHER TO TENDER PURSUANT TO THE EXCHANGE OFFER, AND, IF SO, THE AGGREGATE PRINCIPAL AMOUNT OF OUTSTANDING OLD NOTES TO TENDER AFTER READING THIS PROSPECTUS AND THE LETTER OF TRANSMITTAL AND CONSULTING WITH THEIR ADVISERS, IF ANY, BASED ON THEIR FINANCIAL POSITION AND INDIVIDUAL REQUIREMENTS.</w:t>
      </w:r>
    </w:p>
    <w:p>
      <w:pPr>
        <w:spacing w:after="0" w:line="13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121" w:lineRule="exact"/>
        <w:rPr>
          <w:sz w:val="20"/>
          <w:szCs w:val="20"/>
          <w:color w:val="auto"/>
        </w:rPr>
      </w:pPr>
    </w:p>
    <w:p>
      <w:pPr>
        <w:jc w:val="both"/>
        <w:ind w:left="1380" w:right="1439" w:firstLine="275"/>
        <w:spacing w:after="0" w:line="258" w:lineRule="auto"/>
        <w:rPr>
          <w:sz w:val="20"/>
          <w:szCs w:val="20"/>
          <w:color w:val="auto"/>
        </w:rPr>
      </w:pPr>
      <w:r>
        <w:rPr>
          <w:rFonts w:ascii="Times New Roman" w:cs="Times New Roman" w:eastAsia="Times New Roman" w:hAnsi="Times New Roman"/>
          <w:sz w:val="14"/>
          <w:szCs w:val="14"/>
          <w:color w:val="auto"/>
        </w:rPr>
        <w:t>The following provides a summary of certain terms of the registration rights agreement. This summary is qualified in its entirety by reference to the complete version of the registration rights agreement, which is incorporated by reference as an exhibit to the registration statement of which this prospectus is a part.</w:t>
      </w:r>
    </w:p>
    <w:p>
      <w:pPr>
        <w:spacing w:after="0" w:line="89" w:lineRule="exact"/>
        <w:rPr>
          <w:sz w:val="20"/>
          <w:szCs w:val="20"/>
          <w:color w:val="auto"/>
        </w:rPr>
      </w:pPr>
    </w:p>
    <w:p>
      <w:pPr>
        <w:ind w:left="1380" w:right="1399" w:firstLine="275"/>
        <w:spacing w:after="0" w:line="250" w:lineRule="auto"/>
        <w:rPr>
          <w:sz w:val="20"/>
          <w:szCs w:val="20"/>
          <w:color w:val="auto"/>
        </w:rPr>
      </w:pPr>
      <w:r>
        <w:rPr>
          <w:rFonts w:ascii="Times New Roman" w:cs="Times New Roman" w:eastAsia="Times New Roman" w:hAnsi="Times New Roman"/>
          <w:sz w:val="14"/>
          <w:szCs w:val="14"/>
          <w:color w:val="auto"/>
        </w:rPr>
        <w:t>Under the terms of the registration rights agreement that we entered into with the purchasers of the Old Notes at the time we issued the Old Notes, we agreed to register the New Notes and undertake this exchange offer. This exchange offer is intended to satisfy the rights of holders of Old Notes under that registration rights agreement. After the exchange offer is completed, we will have no further obligations, except under the limited circumstances described below, to provide for any exchange or undertake any further registration with respect to the Old Notes.</w:t>
      </w:r>
    </w:p>
    <w:p>
      <w:pPr>
        <w:spacing w:after="0" w:line="8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Under the terms of the registration rights agreement, we agreed, among other things, to:</w:t>
      </w:r>
    </w:p>
    <w:p>
      <w:pPr>
        <w:spacing w:after="0" w:line="97" w:lineRule="exact"/>
        <w:rPr>
          <w:sz w:val="20"/>
          <w:szCs w:val="20"/>
          <w:color w:val="auto"/>
        </w:rPr>
      </w:pPr>
    </w:p>
    <w:p>
      <w:pPr>
        <w:ind w:left="1780" w:right="1419" w:hanging="134"/>
        <w:spacing w:after="0" w:line="254" w:lineRule="auto"/>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a registration statement with the SEC under the Securities Act with respect to a registered offer to exchange the Old Notes for substantially identical notes that do not contain transfer restrictions and will be registered under the Securities Act no later than June 9, 2026, which is the 90th day after March 11, 2026; and</w:t>
      </w:r>
    </w:p>
    <w:p>
      <w:pPr>
        <w:spacing w:after="0" w:line="60" w:lineRule="exact"/>
        <w:rPr>
          <w:rFonts w:ascii="Times New Roman" w:cs="Times New Roman" w:eastAsia="Times New Roman" w:hAnsi="Times New Roman"/>
          <w:sz w:val="14"/>
          <w:szCs w:val="14"/>
          <w:color w:val="auto"/>
        </w:rPr>
      </w:pPr>
    </w:p>
    <w:p>
      <w:pPr>
        <w:ind w:left="1780" w:right="1539" w:hanging="134"/>
        <w:spacing w:after="0" w:line="271" w:lineRule="auto"/>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our commercially reasonable efforts to cause that registration statement to become effective no later than August 8, 2026, which is the date that is 150 days after March 11, 2026.</w:t>
      </w:r>
    </w:p>
    <w:p>
      <w:pPr>
        <w:spacing w:after="0" w:line="69" w:lineRule="exact"/>
        <w:rPr>
          <w:sz w:val="20"/>
          <w:szCs w:val="20"/>
          <w:color w:val="auto"/>
        </w:rPr>
      </w:pPr>
    </w:p>
    <w:p>
      <w:pPr>
        <w:ind w:left="1380" w:right="1459" w:firstLine="275"/>
        <w:spacing w:after="0" w:line="254" w:lineRule="auto"/>
        <w:rPr>
          <w:sz w:val="20"/>
          <w:szCs w:val="20"/>
          <w:color w:val="auto"/>
        </w:rPr>
      </w:pPr>
      <w:r>
        <w:rPr>
          <w:rFonts w:ascii="Times New Roman" w:cs="Times New Roman" w:eastAsia="Times New Roman" w:hAnsi="Times New Roman"/>
          <w:sz w:val="14"/>
          <w:szCs w:val="14"/>
          <w:color w:val="auto"/>
        </w:rPr>
        <w:t>The registration rights agreement also requires us to commence the exchange offer promptly after the effectiveness of the registration statement and to keep the exchange offer open for not less than 20 business days, or longer if required by applicable law, after the date on which notice of the exchange offer is mailed to the holders of the Old Notes.</w:t>
      </w:r>
    </w:p>
    <w:p>
      <w:pPr>
        <w:spacing w:after="0" w:line="91" w:lineRule="exact"/>
        <w:rPr>
          <w:sz w:val="20"/>
          <w:szCs w:val="20"/>
          <w:color w:val="auto"/>
        </w:rPr>
      </w:pPr>
    </w:p>
    <w:p>
      <w:pPr>
        <w:ind w:left="1380" w:right="1399" w:firstLine="275"/>
        <w:spacing w:after="0" w:line="250" w:lineRule="auto"/>
        <w:rPr>
          <w:sz w:val="20"/>
          <w:szCs w:val="20"/>
          <w:color w:val="auto"/>
        </w:rPr>
      </w:pPr>
      <w:r>
        <w:rPr>
          <w:rFonts w:ascii="Times New Roman" w:cs="Times New Roman" w:eastAsia="Times New Roman" w:hAnsi="Times New Roman"/>
          <w:sz w:val="14"/>
          <w:szCs w:val="14"/>
          <w:color w:val="auto"/>
        </w:rPr>
        <w:t>We also agreed to issue and exchange New Notes for all Old Notes validly tendered and not validly withdrawn before the expiration of the exchange offer. We are sending this prospectus, together with a letter of transmittal, to all the holders of the Old Notes known to us. For each Old Note validly tendered to us in the exchange offer and not validly withdrawn, the holder will receive a New Note having a principal amount equal to the principal amount of the tendered Old Note. Old Notes may be exchanged, and New Notes will be issued, only in minimum denominations of $100,000 and integral multiples of $1,000 in excess thereof.</w:t>
      </w:r>
    </w:p>
    <w:p>
      <w:pPr>
        <w:spacing w:after="0" w:line="96" w:lineRule="exact"/>
        <w:rPr>
          <w:sz w:val="20"/>
          <w:szCs w:val="20"/>
          <w:color w:val="auto"/>
        </w:rPr>
      </w:pPr>
    </w:p>
    <w:p>
      <w:pPr>
        <w:ind w:left="1380" w:right="1459" w:firstLine="275"/>
        <w:spacing w:after="0" w:line="258" w:lineRule="auto"/>
        <w:rPr>
          <w:sz w:val="20"/>
          <w:szCs w:val="20"/>
          <w:color w:val="auto"/>
        </w:rPr>
      </w:pPr>
      <w:r>
        <w:rPr>
          <w:rFonts w:ascii="Times New Roman" w:cs="Times New Roman" w:eastAsia="Times New Roman" w:hAnsi="Times New Roman"/>
          <w:sz w:val="14"/>
          <w:szCs w:val="14"/>
          <w:color w:val="auto"/>
        </w:rPr>
        <w:t>We further agreed that under certain circumstances we would either file a shelf registration statement with the SEC or designate an existing effective shelf registration statement of ours that would allow resales by certain holders of the Old Notes in lieu of such holders participating in the exchange offer.</w:t>
      </w:r>
    </w:p>
    <w:p>
      <w:pPr>
        <w:spacing w:after="0" w:line="13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Eligibility; Transferability</w:t>
      </w:r>
    </w:p>
    <w:p>
      <w:pPr>
        <w:spacing w:after="0" w:line="111" w:lineRule="exact"/>
        <w:rPr>
          <w:sz w:val="20"/>
          <w:szCs w:val="20"/>
          <w:color w:val="auto"/>
        </w:rPr>
      </w:pPr>
    </w:p>
    <w:p>
      <w:pPr>
        <w:ind w:left="1380" w:right="1419" w:firstLine="275"/>
        <w:spacing w:after="0" w:line="250" w:lineRule="auto"/>
        <w:rPr>
          <w:sz w:val="20"/>
          <w:szCs w:val="20"/>
          <w:color w:val="auto"/>
        </w:rPr>
      </w:pPr>
      <w:r>
        <w:rPr>
          <w:rFonts w:ascii="Times New Roman" w:cs="Times New Roman" w:eastAsia="Times New Roman" w:hAnsi="Times New Roman"/>
          <w:sz w:val="14"/>
          <w:szCs w:val="14"/>
          <w:color w:val="auto"/>
        </w:rPr>
        <w:t>We are making this exchange offer in reliance on interpretations of the staff of the SEC set forth in several no-action letters provided to other parties. We have not sought our own no-action letter from the staff of the SEC with respect to this particular exchange offer. However, based on these existing SEC staff interpretations, we believe that you, or any other person receiving New Notes, may offer for resale, resell or otherwise transfer the New Notes without complying with the registration and prospectus delivery requirements of the U.S. federal securities laws, if:</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7" w:name="page28"/>
    <w:bookmarkEnd w:id="27"/>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80" w:right="1619" w:hanging="134"/>
        <w:spacing w:after="0" w:line="271"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nor is any such person, our affiliate as such term is defined under Rule 405 under the Securities Act;</w:t>
      </w:r>
    </w:p>
    <w:p>
      <w:pPr>
        <w:spacing w:after="0" w:line="48" w:lineRule="exact"/>
        <w:rPr>
          <w:rFonts w:ascii="Times New Roman" w:cs="Times New Roman" w:eastAsia="Times New Roman" w:hAnsi="Times New Roman"/>
          <w:sz w:val="14"/>
          <w:szCs w:val="14"/>
          <w:color w:val="auto"/>
        </w:rPr>
      </w:pPr>
    </w:p>
    <w:p>
      <w:pPr>
        <w:ind w:left="1780" w:right="1419" w:hanging="134"/>
        <w:spacing w:after="0" w:line="271"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or the person receiving the New Notes is, acquiring the New Notes in the ordinary course of business;</w:t>
      </w:r>
    </w:p>
    <w:p>
      <w:pPr>
        <w:spacing w:after="0" w:line="48" w:lineRule="exact"/>
        <w:rPr>
          <w:rFonts w:ascii="Times New Roman" w:cs="Times New Roman" w:eastAsia="Times New Roman" w:hAnsi="Times New Roman"/>
          <w:sz w:val="14"/>
          <w:szCs w:val="14"/>
          <w:color w:val="auto"/>
        </w:rPr>
      </w:pPr>
    </w:p>
    <w:p>
      <w:pPr>
        <w:ind w:left="1780" w:right="1719" w:hanging="134"/>
        <w:spacing w:after="0" w:line="271"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nor does any such person, have an arrangement or understanding with any person to participate in any distribution (within the meaning of the Securities Act) of the New Notes;</w:t>
      </w:r>
    </w:p>
    <w:p>
      <w:pPr>
        <w:spacing w:after="0" w:line="38" w:lineRule="exact"/>
        <w:rPr>
          <w:rFonts w:ascii="Times New Roman" w:cs="Times New Roman" w:eastAsia="Times New Roman" w:hAnsi="Times New Roman"/>
          <w:sz w:val="14"/>
          <w:szCs w:val="14"/>
          <w:color w:val="auto"/>
        </w:rPr>
      </w:pPr>
    </w:p>
    <w:p>
      <w:pPr>
        <w:ind w:left="1780" w:right="1479" w:hanging="134"/>
        <w:spacing w:after="0" w:line="258"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or any such person is not, a broker-dealer registered under the Exchange Act, and you are not engaged in or such person is not engaged in, and do not intend to engage in, any distribution (within the meaning of the Securities Act) of the New Notes; and</w:t>
      </w:r>
    </w:p>
    <w:p>
      <w:pPr>
        <w:spacing w:after="0" w:line="57"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acting on behalf of any person who could not truthfully make these statements.</w:t>
      </w:r>
    </w:p>
    <w:p>
      <w:pPr>
        <w:spacing w:after="0" w:line="107" w:lineRule="exact"/>
        <w:rPr>
          <w:sz w:val="20"/>
          <w:szCs w:val="20"/>
          <w:color w:val="auto"/>
        </w:rPr>
      </w:pPr>
    </w:p>
    <w:p>
      <w:pPr>
        <w:ind w:left="1380" w:right="1679" w:firstLine="275"/>
        <w:spacing w:after="0" w:line="271" w:lineRule="auto"/>
        <w:rPr>
          <w:sz w:val="20"/>
          <w:szCs w:val="20"/>
          <w:color w:val="auto"/>
        </w:rPr>
      </w:pPr>
      <w:r>
        <w:rPr>
          <w:rFonts w:ascii="Times New Roman" w:cs="Times New Roman" w:eastAsia="Times New Roman" w:hAnsi="Times New Roman"/>
          <w:sz w:val="14"/>
          <w:szCs w:val="14"/>
          <w:color w:val="auto"/>
        </w:rPr>
        <w:t>To participate in the exchange offer, you must represent as a holder of Old Notes that each of these statements is true.</w:t>
      </w:r>
    </w:p>
    <w:p>
      <w:pPr>
        <w:spacing w:after="0" w:line="69" w:lineRule="exact"/>
        <w:rPr>
          <w:sz w:val="20"/>
          <w:szCs w:val="20"/>
          <w:color w:val="auto"/>
        </w:rPr>
      </w:pPr>
    </w:p>
    <w:p>
      <w:pPr>
        <w:ind w:left="1380" w:right="1379" w:firstLine="275"/>
        <w:spacing w:after="0"/>
        <w:rPr>
          <w:sz w:val="20"/>
          <w:szCs w:val="20"/>
          <w:color w:val="auto"/>
        </w:rPr>
      </w:pPr>
      <w:r>
        <w:rPr>
          <w:rFonts w:ascii="Times New Roman" w:cs="Times New Roman" w:eastAsia="Times New Roman" w:hAnsi="Times New Roman"/>
          <w:sz w:val="14"/>
          <w:szCs w:val="14"/>
          <w:color w:val="auto"/>
        </w:rPr>
        <w:t>In addition, in order for broker-dealers registered under the Exchange Act to participate in the exchange offer, each such broker-dealer must also (i) represent that it is participating in the exchange offer for its own account and is exchanging Old Notes acquired as a result of market-making activities or other trading activities; (ii) confirm that it has not entered into any arrangement or understanding with us or any of our affiliates to distribute the New Notes; and (iii) acknowledge that it will deliver a prospectus meeting the requirements of the Securities Act in connection with any resale of the New Notes. The letter of transmittal to be delivered in connection with a tender of the Old Notes states that by acknowledging that it will deliver, and by delivering, a prospectus, a broker-dealer will not be deemed to admit that it is an underwriter within the meaning of the Securities Act. This prospectus, as it may be amended or supplemented from time to time, may be used by a broker-dealer in connection with resale of the New Notes received in exchange for the Old Notes where such Old Notes were acquired by such broker-dealer as a result of market-making activities or other trading activities. We have agreed that, for a period of 180 days following the expiration date, we will amend or supplement this prospectus to expedite or facilitate the disposition of any New Notes by such broker-dealers.</w:t>
      </w:r>
    </w:p>
    <w:p>
      <w:pPr>
        <w:spacing w:after="0" w:line="226" w:lineRule="exact"/>
        <w:rPr>
          <w:sz w:val="20"/>
          <w:szCs w:val="20"/>
          <w:color w:val="auto"/>
        </w:rPr>
      </w:pPr>
    </w:p>
    <w:p>
      <w:pPr>
        <w:ind w:left="1380" w:right="1639" w:firstLine="275"/>
        <w:spacing w:after="0" w:line="251" w:lineRule="auto"/>
        <w:rPr>
          <w:sz w:val="20"/>
          <w:szCs w:val="20"/>
          <w:color w:val="auto"/>
        </w:rPr>
      </w:pPr>
      <w:r>
        <w:rPr>
          <w:rFonts w:ascii="Times New Roman" w:cs="Times New Roman" w:eastAsia="Times New Roman" w:hAnsi="Times New Roman"/>
          <w:sz w:val="14"/>
          <w:szCs w:val="14"/>
          <w:color w:val="auto"/>
        </w:rPr>
        <w:t>Any holder of Old Notes (i) who is our affiliate, (ii) who does not acquire the New Notes in the ordinary course of business, (iii) who intends to participate in the exchange offer for the purpose of distributing the New Notes or (iv) who is a broker-dealer who purchased the Old Notes directly from us:</w:t>
      </w:r>
    </w:p>
    <w:p>
      <w:pPr>
        <w:spacing w:after="0" w:line="51" w:lineRule="exact"/>
        <w:rPr>
          <w:sz w:val="20"/>
          <w:szCs w:val="20"/>
          <w:color w:val="auto"/>
        </w:rPr>
      </w:pPr>
    </w:p>
    <w:p>
      <w:pPr>
        <w:ind w:left="1780" w:right="1539" w:hanging="134"/>
        <w:spacing w:after="0" w:line="271" w:lineRule="auto"/>
        <w:tabs>
          <w:tab w:leader="none" w:pos="1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able to rely on the interpretation of the staff of the SEC set forth in the no-action letters described above;</w:t>
      </w:r>
    </w:p>
    <w:p>
      <w:pPr>
        <w:spacing w:after="0" w:line="38"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able to tender Old Notes in the exchange offer; and</w:t>
      </w:r>
    </w:p>
    <w:p>
      <w:pPr>
        <w:spacing w:after="0" w:line="86" w:lineRule="exact"/>
        <w:rPr>
          <w:rFonts w:ascii="Times New Roman" w:cs="Times New Roman" w:eastAsia="Times New Roman" w:hAnsi="Times New Roman"/>
          <w:sz w:val="14"/>
          <w:szCs w:val="14"/>
          <w:color w:val="auto"/>
        </w:rPr>
      </w:pPr>
    </w:p>
    <w:p>
      <w:pPr>
        <w:ind w:left="1780" w:right="1419" w:hanging="134"/>
        <w:spacing w:after="0" w:line="258" w:lineRule="auto"/>
        <w:tabs>
          <w:tab w:leader="none" w:pos="1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comply with the registration and prospectus delivery requirements of the Securities Act in connection with any sale or transfer of the New Notes, unless the sale or transfer is made pursuant to an exemption from those requirements.</w:t>
      </w:r>
    </w:p>
    <w:p>
      <w:pPr>
        <w:spacing w:after="0" w:line="78" w:lineRule="exact"/>
        <w:rPr>
          <w:sz w:val="20"/>
          <w:szCs w:val="20"/>
          <w:color w:val="auto"/>
        </w:rPr>
      </w:pPr>
    </w:p>
    <w:p>
      <w:pPr>
        <w:jc w:val="both"/>
        <w:ind w:left="1380" w:right="1459" w:firstLine="275"/>
        <w:spacing w:after="0" w:line="251" w:lineRule="auto"/>
        <w:rPr>
          <w:sz w:val="20"/>
          <w:szCs w:val="20"/>
          <w:color w:val="auto"/>
        </w:rPr>
      </w:pPr>
      <w:r>
        <w:rPr>
          <w:rFonts w:ascii="Times New Roman" w:cs="Times New Roman" w:eastAsia="Times New Roman" w:hAnsi="Times New Roman"/>
          <w:sz w:val="14"/>
          <w:szCs w:val="14"/>
          <w:color w:val="auto"/>
        </w:rPr>
        <w:t>The exchange offer is not being made to, nor will we accept tenders for exchange from, holders of Old Notes in any jurisdiction in which the exchange offer or the acceptance of the exchange offer would not be in compliance with the securities or blue sky laws of such jurisdiction.</w:t>
      </w:r>
    </w:p>
    <w:p>
      <w:pPr>
        <w:spacing w:after="0" w:line="13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Expiration of the Exchange Offer; Extensions; Amendments</w:t>
      </w:r>
    </w:p>
    <w:p>
      <w:pPr>
        <w:spacing w:after="0" w:line="121" w:lineRule="exact"/>
        <w:rPr>
          <w:sz w:val="20"/>
          <w:szCs w:val="20"/>
          <w:color w:val="auto"/>
        </w:rPr>
      </w:pPr>
    </w:p>
    <w:p>
      <w:pPr>
        <w:ind w:left="1380" w:right="1479" w:firstLine="275"/>
        <w:spacing w:after="0" w:line="239" w:lineRule="auto"/>
        <w:rPr>
          <w:sz w:val="20"/>
          <w:szCs w:val="20"/>
          <w:color w:val="auto"/>
        </w:rPr>
      </w:pPr>
      <w:r>
        <w:rPr>
          <w:rFonts w:ascii="Times New Roman" w:cs="Times New Roman" w:eastAsia="Times New Roman" w:hAnsi="Times New Roman"/>
          <w:sz w:val="14"/>
          <w:szCs w:val="14"/>
          <w:color w:val="auto"/>
        </w:rPr>
        <w:t>The exchange offer will expire at 11:59 p.m., New York City time on             , 2026, which we refer to as the “expiration date,” unless we extend the exchange offer. If we extend the exchange offer, the expiration date will be the latest date and time to which the exchange offer is extended. To extend the exchange offer, we will notify the exchange agent and each registered holder of the Old Notes of any extension before 9:00 a.m., New York City time on the next business day after the previously scheduled expiration date. During any such extension, all Old Notes previously tendered will remain subject to the exchange offer and may be accepted for exchange by us.</w:t>
      </w:r>
    </w:p>
    <w:p>
      <w:pPr>
        <w:spacing w:after="0" w:line="94" w:lineRule="exact"/>
        <w:rPr>
          <w:sz w:val="20"/>
          <w:szCs w:val="20"/>
          <w:color w:val="auto"/>
        </w:rPr>
      </w:pPr>
    </w:p>
    <w:p>
      <w:pPr>
        <w:ind w:left="1380" w:right="1459" w:firstLine="275"/>
        <w:spacing w:after="0" w:line="256" w:lineRule="auto"/>
        <w:rPr>
          <w:sz w:val="20"/>
          <w:szCs w:val="20"/>
          <w:color w:val="auto"/>
        </w:rPr>
      </w:pPr>
      <w:r>
        <w:rPr>
          <w:rFonts w:ascii="Times New Roman" w:cs="Times New Roman" w:eastAsia="Times New Roman" w:hAnsi="Times New Roman"/>
          <w:sz w:val="14"/>
          <w:szCs w:val="14"/>
          <w:color w:val="auto"/>
        </w:rPr>
        <w:t>We reserve the right to extend the exchange offer, delay accepting any tendered Old Notes or, if any of the conditions described below under the heading “— Conditions” have not been satisfied, to terminate the</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8" w:name="page29"/>
    <w:bookmarkEnd w:id="28"/>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519"/>
        <w:spacing w:after="0" w:line="244" w:lineRule="auto"/>
        <w:rPr>
          <w:sz w:val="20"/>
          <w:szCs w:val="20"/>
          <w:color w:val="auto"/>
        </w:rPr>
      </w:pPr>
      <w:r>
        <w:rPr>
          <w:rFonts w:ascii="Times New Roman" w:cs="Times New Roman" w:eastAsia="Times New Roman" w:hAnsi="Times New Roman"/>
          <w:sz w:val="14"/>
          <w:szCs w:val="14"/>
          <w:color w:val="auto"/>
        </w:rPr>
        <w:t>exchange offer. We also reserve the right to amend the terms of the exchange offer in any manner. We will give oral or written notice of any delay, extension, termination or amendment to the exchange agent. We will keep the exchange offer open for not less than 20 business days, or longer if required by applicable law, after the date on which notice of the exchange offer is mailed to holders of the Old Notes.</w:t>
      </w:r>
    </w:p>
    <w:p>
      <w:pPr>
        <w:spacing w:after="0" w:line="87" w:lineRule="exact"/>
        <w:rPr>
          <w:sz w:val="20"/>
          <w:szCs w:val="20"/>
          <w:color w:val="auto"/>
        </w:rPr>
      </w:pPr>
    </w:p>
    <w:p>
      <w:pPr>
        <w:ind w:left="1380" w:right="1379" w:firstLine="275"/>
        <w:spacing w:after="0" w:line="251" w:lineRule="auto"/>
        <w:rPr>
          <w:sz w:val="20"/>
          <w:szCs w:val="20"/>
          <w:color w:val="auto"/>
        </w:rPr>
      </w:pPr>
      <w:r>
        <w:rPr>
          <w:rFonts w:ascii="Times New Roman" w:cs="Times New Roman" w:eastAsia="Times New Roman" w:hAnsi="Times New Roman"/>
          <w:sz w:val="14"/>
          <w:szCs w:val="14"/>
          <w:color w:val="auto"/>
        </w:rPr>
        <w:t>If we amend the exchange offer in a manner that we consider material, we will disclose that amendment by means of a prospectus supplement, and we will extend the exchange offer so that at least five business days remain in the exchange offer following notice of the material change.</w:t>
      </w:r>
    </w:p>
    <w:p>
      <w:pPr>
        <w:spacing w:after="0" w:line="82" w:lineRule="exact"/>
        <w:rPr>
          <w:sz w:val="20"/>
          <w:szCs w:val="20"/>
          <w:color w:val="auto"/>
        </w:rPr>
      </w:pPr>
    </w:p>
    <w:p>
      <w:pPr>
        <w:ind w:left="1380" w:right="1479" w:firstLine="275"/>
        <w:spacing w:after="0" w:line="256" w:lineRule="auto"/>
        <w:rPr>
          <w:sz w:val="20"/>
          <w:szCs w:val="20"/>
          <w:color w:val="auto"/>
        </w:rPr>
      </w:pPr>
      <w:r>
        <w:rPr>
          <w:rFonts w:ascii="Times New Roman" w:cs="Times New Roman" w:eastAsia="Times New Roman" w:hAnsi="Times New Roman"/>
          <w:sz w:val="14"/>
          <w:szCs w:val="14"/>
          <w:color w:val="auto"/>
        </w:rPr>
        <w:t>If we determine to make a public announcement of any delay, extension, amendment or termination of the exchange offer, we will do so by making a timely release through an appropriate news agency.</w:t>
      </w:r>
    </w:p>
    <w:p>
      <w:pPr>
        <w:spacing w:after="0" w:line="79" w:lineRule="exact"/>
        <w:rPr>
          <w:sz w:val="20"/>
          <w:szCs w:val="20"/>
          <w:color w:val="auto"/>
        </w:rPr>
      </w:pPr>
    </w:p>
    <w:p>
      <w:pPr>
        <w:ind w:left="1380" w:right="1479" w:firstLine="275"/>
        <w:spacing w:after="0" w:line="251" w:lineRule="auto"/>
        <w:rPr>
          <w:sz w:val="20"/>
          <w:szCs w:val="20"/>
          <w:color w:val="auto"/>
        </w:rPr>
      </w:pPr>
      <w:r>
        <w:rPr>
          <w:rFonts w:ascii="Times New Roman" w:cs="Times New Roman" w:eastAsia="Times New Roman" w:hAnsi="Times New Roman"/>
          <w:sz w:val="14"/>
          <w:szCs w:val="14"/>
          <w:color w:val="auto"/>
        </w:rPr>
        <w:t>If we terminate or withdraw the exchange offer, we will promptly pay the consideration offered, or return any Old Notes deposited, under the exchange offer as required by Rule 14e-1(c) under the Exchange Act.</w:t>
      </w:r>
    </w:p>
    <w:p>
      <w:pPr>
        <w:spacing w:after="0" w:line="13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Conditions</w:t>
      </w:r>
    </w:p>
    <w:p>
      <w:pPr>
        <w:spacing w:after="0" w:line="121" w:lineRule="exact"/>
        <w:rPr>
          <w:sz w:val="20"/>
          <w:szCs w:val="20"/>
          <w:color w:val="auto"/>
        </w:rPr>
      </w:pPr>
    </w:p>
    <w:p>
      <w:pPr>
        <w:ind w:left="1380" w:right="1439" w:firstLine="275"/>
        <w:spacing w:after="0" w:line="244" w:lineRule="auto"/>
        <w:rPr>
          <w:sz w:val="20"/>
          <w:szCs w:val="20"/>
          <w:color w:val="auto"/>
        </w:rPr>
      </w:pPr>
      <w:r>
        <w:rPr>
          <w:rFonts w:ascii="Times New Roman" w:cs="Times New Roman" w:eastAsia="Times New Roman" w:hAnsi="Times New Roman"/>
          <w:sz w:val="14"/>
          <w:szCs w:val="14"/>
          <w:color w:val="auto"/>
        </w:rPr>
        <w:t>The exchange offer is not conditioned on any minimum aggregate principal amount of Old Notes being tendered or accepted for exchange. Notwithstanding any other term of the exchange offer, we will not be required to accept for exchange, or issue any New Notes for, any Old Notes, and may terminate or amend the exchange offer before the acceptance of the Old Notes, if:</w:t>
      </w:r>
    </w:p>
    <w:p>
      <w:pPr>
        <w:spacing w:after="0" w:line="56" w:lineRule="exact"/>
        <w:rPr>
          <w:sz w:val="20"/>
          <w:szCs w:val="20"/>
          <w:color w:val="auto"/>
        </w:rPr>
      </w:pPr>
    </w:p>
    <w:p>
      <w:pPr>
        <w:ind w:left="1780" w:right="1739" w:hanging="134"/>
        <w:spacing w:after="0" w:line="271" w:lineRule="auto"/>
        <w:tabs>
          <w:tab w:leader="none" w:pos="1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Old Notes are tendered to us other than in accordance with the terms and conditions of the exchange offer;</w:t>
      </w:r>
    </w:p>
    <w:p>
      <w:pPr>
        <w:spacing w:after="0" w:line="48" w:lineRule="exact"/>
        <w:rPr>
          <w:rFonts w:ascii="Times New Roman" w:cs="Times New Roman" w:eastAsia="Times New Roman" w:hAnsi="Times New Roman"/>
          <w:sz w:val="14"/>
          <w:szCs w:val="14"/>
          <w:color w:val="auto"/>
        </w:rPr>
      </w:pPr>
    </w:p>
    <w:p>
      <w:pPr>
        <w:ind w:left="1780" w:right="1579" w:hanging="134"/>
        <w:spacing w:after="0" w:line="271" w:lineRule="auto"/>
        <w:tabs>
          <w:tab w:leader="none" w:pos="1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that the exchange offer violates any law, statute, rule, regulation or interpretation by the staff of the SEC; or</w:t>
      </w:r>
    </w:p>
    <w:p>
      <w:pPr>
        <w:spacing w:after="0" w:line="38" w:lineRule="exact"/>
        <w:rPr>
          <w:rFonts w:ascii="Times New Roman" w:cs="Times New Roman" w:eastAsia="Times New Roman" w:hAnsi="Times New Roman"/>
          <w:sz w:val="14"/>
          <w:szCs w:val="14"/>
          <w:color w:val="auto"/>
        </w:rPr>
      </w:pPr>
    </w:p>
    <w:p>
      <w:pPr>
        <w:ind w:left="1780" w:right="1379" w:hanging="134"/>
        <w:spacing w:after="0" w:line="258" w:lineRule="auto"/>
        <w:tabs>
          <w:tab w:leader="none" w:pos="1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is instituted or threatened in any court or by or before any governmental agency relating to the exchange offer which, in our judgment, could reasonably be expected to impair our ability to proceed with the exchange offer.</w:t>
      </w:r>
    </w:p>
    <w:p>
      <w:pPr>
        <w:spacing w:after="0" w:line="89" w:lineRule="exact"/>
        <w:rPr>
          <w:sz w:val="20"/>
          <w:szCs w:val="20"/>
          <w:color w:val="auto"/>
        </w:rPr>
      </w:pPr>
    </w:p>
    <w:p>
      <w:pPr>
        <w:ind w:left="1380" w:right="1459" w:firstLine="275"/>
        <w:spacing w:after="0"/>
        <w:rPr>
          <w:sz w:val="20"/>
          <w:szCs w:val="20"/>
          <w:color w:val="auto"/>
        </w:rPr>
      </w:pPr>
      <w:r>
        <w:rPr>
          <w:rFonts w:ascii="Times New Roman" w:cs="Times New Roman" w:eastAsia="Times New Roman" w:hAnsi="Times New Roman"/>
          <w:sz w:val="14"/>
          <w:szCs w:val="14"/>
          <w:color w:val="auto"/>
        </w:rPr>
        <w:t>The conditions listed above are for our sole benefit and may be asserted by us regardless of the circumstances giving rise to any of these conditions. We may waive these conditions in our absolute discretion in whole or in part at any time and from time to time prior to the expiration date. Our failure at any time to exercise any of the above rights will not be considered a waiver of that right, and that right will be considered an ongoing right which we may assert at any time and from time to time.</w:t>
      </w:r>
    </w:p>
    <w:p>
      <w:pPr>
        <w:spacing w:after="0" w:line="92" w:lineRule="exact"/>
        <w:rPr>
          <w:sz w:val="20"/>
          <w:szCs w:val="20"/>
          <w:color w:val="auto"/>
        </w:rPr>
      </w:pPr>
    </w:p>
    <w:p>
      <w:pPr>
        <w:ind w:left="1380" w:right="1399" w:firstLine="275"/>
        <w:spacing w:after="0" w:line="244" w:lineRule="auto"/>
        <w:rPr>
          <w:sz w:val="20"/>
          <w:szCs w:val="20"/>
          <w:color w:val="auto"/>
        </w:rPr>
      </w:pPr>
      <w:r>
        <w:rPr>
          <w:rFonts w:ascii="Times New Roman" w:cs="Times New Roman" w:eastAsia="Times New Roman" w:hAnsi="Times New Roman"/>
          <w:sz w:val="14"/>
          <w:szCs w:val="14"/>
          <w:color w:val="auto"/>
        </w:rPr>
        <w:t>In addition, we will not accept for exchange any Old Notes tendered, and no New Notes will be issued in exchange for those Old Notes, if at any time any stop order is threatened or issued by the SEC with respect to the registration statement for the exchange offer and the New Notes or the qualification of the indenture under the Trust Indenture Act of 1939 (the “Trust Indenture Act”). In any such event, we must use our commercially reasonable efforts to obtain the withdrawal of any stop order as soon as practicable.</w:t>
      </w:r>
    </w:p>
    <w:p>
      <w:pPr>
        <w:spacing w:after="0" w:line="88" w:lineRule="exact"/>
        <w:rPr>
          <w:sz w:val="20"/>
          <w:szCs w:val="20"/>
          <w:color w:val="auto"/>
        </w:rPr>
      </w:pPr>
    </w:p>
    <w:p>
      <w:pPr>
        <w:ind w:left="1380" w:right="1459" w:firstLine="275"/>
        <w:spacing w:after="0" w:line="256" w:lineRule="auto"/>
        <w:rPr>
          <w:sz w:val="20"/>
          <w:szCs w:val="20"/>
          <w:color w:val="auto"/>
        </w:rPr>
      </w:pPr>
      <w:r>
        <w:rPr>
          <w:rFonts w:ascii="Times New Roman" w:cs="Times New Roman" w:eastAsia="Times New Roman" w:hAnsi="Times New Roman"/>
          <w:sz w:val="14"/>
          <w:szCs w:val="14"/>
          <w:color w:val="auto"/>
        </w:rPr>
        <w:t>Further, we will not be obligated to accept for exchange the Old Notes of any holder that has not made to us the representations described under “— Eligibility; Transferability” and “Plan of Distribution.”</w:t>
      </w:r>
    </w:p>
    <w:p>
      <w:pPr>
        <w:spacing w:after="0" w:line="1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Procedures for Tendering Old Notes</w:t>
      </w:r>
    </w:p>
    <w:p>
      <w:pPr>
        <w:spacing w:after="0" w:line="121" w:lineRule="exact"/>
        <w:rPr>
          <w:sz w:val="20"/>
          <w:szCs w:val="20"/>
          <w:color w:val="auto"/>
        </w:rPr>
      </w:pPr>
    </w:p>
    <w:p>
      <w:pPr>
        <w:ind w:left="1380" w:right="1559" w:firstLine="275"/>
        <w:spacing w:after="0" w:line="244" w:lineRule="auto"/>
        <w:rPr>
          <w:sz w:val="20"/>
          <w:szCs w:val="20"/>
          <w:color w:val="auto"/>
        </w:rPr>
      </w:pPr>
      <w:r>
        <w:rPr>
          <w:rFonts w:ascii="Times New Roman" w:cs="Times New Roman" w:eastAsia="Times New Roman" w:hAnsi="Times New Roman"/>
          <w:sz w:val="14"/>
          <w:szCs w:val="14"/>
          <w:color w:val="auto"/>
        </w:rPr>
        <w:t>In order to participate in the exchange offer, you must validly tender your Old Notes to the exchange agent as described below. It is your responsibility to validly tender your Old Notes. We have the right to waive any defects. However, we are not required to waive defects and are not required to notify you of defects in your tender.</w:t>
      </w:r>
    </w:p>
    <w:p>
      <w:pPr>
        <w:spacing w:after="0" w:line="87" w:lineRule="exact"/>
        <w:rPr>
          <w:sz w:val="20"/>
          <w:szCs w:val="20"/>
          <w:color w:val="auto"/>
        </w:rPr>
      </w:pPr>
    </w:p>
    <w:p>
      <w:pPr>
        <w:ind w:left="1380" w:right="1519" w:firstLine="275"/>
        <w:spacing w:after="0" w:line="256" w:lineRule="auto"/>
        <w:rPr>
          <w:sz w:val="20"/>
          <w:szCs w:val="20"/>
          <w:color w:val="auto"/>
        </w:rPr>
      </w:pPr>
      <w:r>
        <w:rPr>
          <w:rFonts w:ascii="Times New Roman" w:cs="Times New Roman" w:eastAsia="Times New Roman" w:hAnsi="Times New Roman"/>
          <w:sz w:val="14"/>
          <w:szCs w:val="14"/>
          <w:color w:val="auto"/>
        </w:rPr>
        <w:t>If you have any questions or need help in exchanging your Old Notes, please call the exchange agent, whose address and phone number are set forth in “— Exchange Agent.”</w:t>
      </w:r>
    </w:p>
    <w:p>
      <w:pPr>
        <w:spacing w:after="0" w:line="79" w:lineRule="exact"/>
        <w:rPr>
          <w:sz w:val="20"/>
          <w:szCs w:val="20"/>
          <w:color w:val="auto"/>
        </w:rPr>
      </w:pPr>
    </w:p>
    <w:p>
      <w:pPr>
        <w:ind w:left="1380" w:right="1439" w:firstLine="275"/>
        <w:spacing w:after="0" w:line="251" w:lineRule="auto"/>
        <w:rPr>
          <w:sz w:val="20"/>
          <w:szCs w:val="20"/>
          <w:color w:val="auto"/>
        </w:rPr>
      </w:pPr>
      <w:r>
        <w:rPr>
          <w:rFonts w:ascii="Times New Roman" w:cs="Times New Roman" w:eastAsia="Times New Roman" w:hAnsi="Times New Roman"/>
          <w:sz w:val="14"/>
          <w:szCs w:val="14"/>
          <w:color w:val="auto"/>
        </w:rPr>
        <w:t>The Old Notes were issued in book-entry form and are currently represented by global certificates held for the account of DTC. Accordingly, DTC will be the only entity that can tender your Old Notes for New Notes. Therefore, to tender Old Notes subject to the exchange offer and to obtain New Notes:</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29" w:name="page30"/>
    <w:bookmarkEnd w:id="29"/>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80" w:hanging="134"/>
        <w:spacing w:after="0"/>
        <w:tabs>
          <w:tab w:leader="none" w:pos="1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must comply with DTC’s ATOP procedures described below; and</w:t>
      </w:r>
    </w:p>
    <w:p>
      <w:pPr>
        <w:spacing w:after="0" w:line="86" w:lineRule="exact"/>
        <w:rPr>
          <w:rFonts w:ascii="Times New Roman" w:cs="Times New Roman" w:eastAsia="Times New Roman" w:hAnsi="Times New Roman"/>
          <w:sz w:val="14"/>
          <w:szCs w:val="14"/>
          <w:color w:val="auto"/>
        </w:rPr>
      </w:pPr>
    </w:p>
    <w:p>
      <w:pPr>
        <w:jc w:val="both"/>
        <w:ind w:left="1780" w:right="1399" w:hanging="134"/>
        <w:spacing w:after="0" w:line="254" w:lineRule="auto"/>
        <w:tabs>
          <w:tab w:leader="none" w:pos="1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agent must receive a timely confirmation of a book-entry transfer of the Old Notes into its account at DTC through ATOP pursuant to the procedure for book-entry transfer described below, along with a properly transmitted “agent’s message” (as​ defined below), before the expiration date of the exchange offer.</w:t>
      </w:r>
    </w:p>
    <w:p>
      <w:pPr>
        <w:spacing w:after="0" w:line="91" w:lineRule="exact"/>
        <w:rPr>
          <w:sz w:val="20"/>
          <w:szCs w:val="20"/>
          <w:color w:val="auto"/>
        </w:rPr>
      </w:pPr>
    </w:p>
    <w:p>
      <w:pPr>
        <w:ind w:left="1380" w:right="1419" w:firstLine="275"/>
        <w:spacing w:after="0" w:line="250" w:lineRule="auto"/>
        <w:rPr>
          <w:sz w:val="20"/>
          <w:szCs w:val="20"/>
          <w:color w:val="auto"/>
        </w:rPr>
      </w:pPr>
      <w:r>
        <w:rPr>
          <w:rFonts w:ascii="Times New Roman" w:cs="Times New Roman" w:eastAsia="Times New Roman" w:hAnsi="Times New Roman"/>
          <w:sz w:val="14"/>
          <w:szCs w:val="14"/>
          <w:color w:val="auto"/>
        </w:rPr>
        <w:t>Following receipt, the exchange agent will establish an ATOP account with DTC for purposes of the exchange offer promptly after the commencement of the exchange offer. Any financial institution that is a DTC participant, including your broker or bank, may make a book-entry tender of outstanding Old Notes by causing the book-entry transfer of such Old Notes into our ATOP account in accordance with DTC’s procedures for such transfers. In connection with the transfer, DTC must send an “agent’s message” to the exchange agent on or prior to 11:59 p.m., New York City time, on the expiration date of the exchange offer.</w:t>
      </w:r>
    </w:p>
    <w:p>
      <w:pPr>
        <w:spacing w:after="0" w:line="96" w:lineRule="exact"/>
        <w:rPr>
          <w:sz w:val="20"/>
          <w:szCs w:val="20"/>
          <w:color w:val="auto"/>
        </w:rPr>
      </w:pPr>
    </w:p>
    <w:p>
      <w:pPr>
        <w:ind w:left="1380" w:right="1479" w:firstLine="275"/>
        <w:spacing w:after="0" w:line="252" w:lineRule="auto"/>
        <w:rPr>
          <w:sz w:val="20"/>
          <w:szCs w:val="20"/>
          <w:color w:val="auto"/>
        </w:rPr>
      </w:pPr>
      <w:r>
        <w:rPr>
          <w:rFonts w:ascii="Times New Roman" w:cs="Times New Roman" w:eastAsia="Times New Roman" w:hAnsi="Times New Roman"/>
          <w:sz w:val="14"/>
          <w:szCs w:val="14"/>
          <w:color w:val="auto"/>
        </w:rPr>
        <w:t>The term “agent’s message” means a message transmitted by the DTC participants to DTC, and thereafter transmitted by DTC to the exchange agent, which states that DTC has received an express acknowledgement from the participant stating that such participant and beneficial holder agree to be bound by the terms of the exchange offer, including the letter of transmittal, and that the agreement may be enforced against such participant.</w:t>
      </w:r>
    </w:p>
    <w:p>
      <w:pPr>
        <w:spacing w:after="0" w:line="8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Each agent’s message must include the following information:</w:t>
      </w:r>
    </w:p>
    <w:p>
      <w:pPr>
        <w:spacing w:after="0" w:line="97" w:lineRule="exact"/>
        <w:rPr>
          <w:sz w:val="20"/>
          <w:szCs w:val="20"/>
          <w:color w:val="auto"/>
        </w:rPr>
      </w:pPr>
    </w:p>
    <w:p>
      <w:pPr>
        <w:ind w:left="1780" w:hanging="134"/>
        <w:spacing w:after="0"/>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of the beneficial owner tendering such Old Notes;</w:t>
      </w:r>
    </w:p>
    <w:p>
      <w:pPr>
        <w:spacing w:after="0" w:line="86"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 number of the beneficial owner tendering such Old Notes;</w:t>
      </w:r>
    </w:p>
    <w:p>
      <w:pPr>
        <w:spacing w:after="0" w:line="86"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amount of Old Notes tendered by such beneficial owner; and</w:t>
      </w:r>
    </w:p>
    <w:p>
      <w:pPr>
        <w:spacing w:after="0" w:line="86" w:lineRule="exact"/>
        <w:rPr>
          <w:rFonts w:ascii="Times New Roman" w:cs="Times New Roman" w:eastAsia="Times New Roman" w:hAnsi="Times New Roman"/>
          <w:sz w:val="14"/>
          <w:szCs w:val="14"/>
          <w:color w:val="auto"/>
        </w:rPr>
      </w:pPr>
    </w:p>
    <w:p>
      <w:pPr>
        <w:ind w:left="1780" w:right="1799" w:hanging="134"/>
        <w:spacing w:after="0" w:line="271" w:lineRule="auto"/>
        <w:tabs>
          <w:tab w:leader="none" w:pos="1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confirmation that the beneficial owner of the Old Notes has made the representations for our benefit set forth under “— Representations” below.</w:t>
      </w:r>
    </w:p>
    <w:p>
      <w:pPr>
        <w:spacing w:after="0" w:line="80" w:lineRule="exact"/>
        <w:rPr>
          <w:sz w:val="20"/>
          <w:szCs w:val="20"/>
          <w:color w:val="auto"/>
        </w:rPr>
      </w:pPr>
    </w:p>
    <w:p>
      <w:pPr>
        <w:ind w:left="1380" w:right="1459" w:firstLine="275"/>
        <w:spacing w:after="0" w:line="250" w:lineRule="auto"/>
        <w:rPr>
          <w:sz w:val="20"/>
          <w:szCs w:val="20"/>
          <w:color w:val="auto"/>
        </w:rPr>
      </w:pPr>
      <w:r>
        <w:rPr>
          <w:rFonts w:ascii="Times New Roman" w:cs="Times New Roman" w:eastAsia="Times New Roman" w:hAnsi="Times New Roman"/>
          <w:sz w:val="14"/>
          <w:szCs w:val="14"/>
          <w:color w:val="auto"/>
        </w:rPr>
        <w:t>The delivery of the Old Notes through DTC, and any transmission of an agent’s message through ATOP, is at the election and risk of the person tendering Old Notes. If we do not accept any tendered Old Notes for exchange or if Old Notes are submitted for a greater principal amount than the holder desires to exchange, the unaccepted or non-exchanged Old Notes will be returned, without expense, to their tendering holder. Such non-exchanged Old Notes will be credited to an account maintained with DTC. These actions will occur promptly after the expiration or termination of the exchange offer.</w:t>
      </w:r>
    </w:p>
    <w:p>
      <w:pPr>
        <w:spacing w:after="0" w:line="86" w:lineRule="exact"/>
        <w:rPr>
          <w:sz w:val="20"/>
          <w:szCs w:val="20"/>
          <w:color w:val="auto"/>
        </w:rPr>
      </w:pPr>
    </w:p>
    <w:p>
      <w:pPr>
        <w:ind w:left="1380" w:right="1419" w:firstLine="275"/>
        <w:spacing w:after="0" w:line="250" w:lineRule="auto"/>
        <w:rPr>
          <w:sz w:val="20"/>
          <w:szCs w:val="20"/>
          <w:color w:val="auto"/>
        </w:rPr>
      </w:pPr>
      <w:r>
        <w:rPr>
          <w:rFonts w:ascii="Times New Roman" w:cs="Times New Roman" w:eastAsia="Times New Roman" w:hAnsi="Times New Roman"/>
          <w:sz w:val="14"/>
          <w:szCs w:val="14"/>
          <w:color w:val="auto"/>
        </w:rPr>
        <w:t>The tender by a holder of Old Notes that is not validly withdrawn prior to the expiration date of the exchange offer and that is accepted by us will constitute a binding agreement between us and the holder in accordance with the terms and subject to the conditions set forth in this prospectus and in the accompanying letter of transmittal. By using the ATOP procedures to exchange Old Notes, you will not be required to deliver a letter of transmittal to the exchange agent. However, you will be bound by its terms, and you will be deemed to have made the acknowledgements and the representations and warranties it contains, just as if you had signed it.</w:t>
      </w:r>
    </w:p>
    <w:p>
      <w:pPr>
        <w:spacing w:after="0" w:line="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There is no procedure for guaranteed late delivery of the Old Notes.</w:t>
      </w:r>
    </w:p>
    <w:p>
      <w:pPr>
        <w:spacing w:after="0" w:line="117" w:lineRule="exact"/>
        <w:rPr>
          <w:sz w:val="20"/>
          <w:szCs w:val="20"/>
          <w:color w:val="auto"/>
        </w:rPr>
      </w:pPr>
    </w:p>
    <w:p>
      <w:pPr>
        <w:ind w:left="1380" w:right="1399" w:firstLine="275"/>
        <w:spacing w:after="0" w:line="248" w:lineRule="auto"/>
        <w:rPr>
          <w:sz w:val="20"/>
          <w:szCs w:val="20"/>
          <w:color w:val="auto"/>
        </w:rPr>
      </w:pPr>
      <w:r>
        <w:rPr>
          <w:rFonts w:ascii="Times New Roman" w:cs="Times New Roman" w:eastAsia="Times New Roman" w:hAnsi="Times New Roman"/>
          <w:sz w:val="14"/>
          <w:szCs w:val="14"/>
          <w:color w:val="auto"/>
        </w:rPr>
        <w:t>We will determine all questions as to the validity, form, eligibility (including time of receipt) and acceptance and withdrawal of tendered Old Notes in our sole discretion. We reserve the absolute right to reject any and all Old Notes not properly tendered or any Old Notes whose acceptance by us would, in the opinion of our counsel, be unlawful. We also reserve the right to waive any defects, irregularities or conditions of tender as to any particular Old Notes either before or after the expiration date. Our interpretation of the terms and conditions of the exchange offer (including the instructions in the accompanying letter of transmittal) will be final and binding on all parties. Unless waived, any defects or irregularities in connection with tenders of Old Notes must be cured within a time period we will reasonably determine. Although we intend to request the exchange agent to notify holders of defects or irregularities relating to tenders of Old Notes, neither we, the exchange agent nor any other person will have any duty or incur any liability for failure to give such notification. Tenders of Old Notes will not be considered to have been made until such defects or irregularities have been cured or waived. If we waive any terms or conditions with respect to a noteholder,</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0" w:name="page31"/>
    <w:bookmarkEnd w:id="30"/>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619"/>
        <w:spacing w:after="0" w:line="263" w:lineRule="auto"/>
        <w:rPr>
          <w:sz w:val="20"/>
          <w:szCs w:val="20"/>
          <w:color w:val="auto"/>
        </w:rPr>
      </w:pPr>
      <w:r>
        <w:rPr>
          <w:rFonts w:ascii="Times New Roman" w:cs="Times New Roman" w:eastAsia="Times New Roman" w:hAnsi="Times New Roman"/>
          <w:sz w:val="14"/>
          <w:szCs w:val="14"/>
          <w:color w:val="auto"/>
        </w:rPr>
        <w:t>we will extend the same waiver to all noteholders with respect to that term or condition. Any Old Notes received by the exchange agent that are not validly tendered and as to which the defects or irregularities have not been cured or waived will be returned by the exchange agent, without expense, to the tendering holders, unless otherwise provided in the accompanying letter of transmittal, promptly following the expiration date of the exchange offer.</w:t>
      </w:r>
    </w:p>
    <w:p>
      <w:pPr>
        <w:spacing w:after="0" w:line="1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Representations</w:t>
      </w:r>
    </w:p>
    <w:p>
      <w:pPr>
        <w:spacing w:after="0" w:line="11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By tendering Old Notes, each holder is deemed to have represented to us that:</w:t>
      </w:r>
    </w:p>
    <w:p>
      <w:pPr>
        <w:spacing w:after="0" w:line="107" w:lineRule="exact"/>
        <w:rPr>
          <w:sz w:val="20"/>
          <w:szCs w:val="20"/>
          <w:color w:val="auto"/>
        </w:rPr>
      </w:pPr>
    </w:p>
    <w:p>
      <w:pPr>
        <w:ind w:left="1780" w:right="1619" w:hanging="134"/>
        <w:spacing w:after="0" w:line="271" w:lineRule="auto"/>
        <w:tabs>
          <w:tab w:leader="none" w:pos="1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not, nor is any such person, our affiliate as such term is defined under Rule 405 under the Securities Act;</w:t>
      </w:r>
    </w:p>
    <w:p>
      <w:pPr>
        <w:spacing w:after="0" w:line="58" w:lineRule="exact"/>
        <w:rPr>
          <w:rFonts w:ascii="Times New Roman" w:cs="Times New Roman" w:eastAsia="Times New Roman" w:hAnsi="Times New Roman"/>
          <w:sz w:val="14"/>
          <w:szCs w:val="14"/>
          <w:color w:val="auto"/>
        </w:rPr>
      </w:pPr>
    </w:p>
    <w:p>
      <w:pPr>
        <w:ind w:left="1780" w:right="1419" w:hanging="134"/>
        <w:spacing w:after="0" w:line="271" w:lineRule="auto"/>
        <w:tabs>
          <w:tab w:leader="none" w:pos="1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or the person receiving the New Notes is, acquiring the New Notes in the ordinary course of business;</w:t>
      </w:r>
    </w:p>
    <w:p>
      <w:pPr>
        <w:spacing w:after="0" w:line="69" w:lineRule="exact"/>
        <w:rPr>
          <w:rFonts w:ascii="Times New Roman" w:cs="Times New Roman" w:eastAsia="Times New Roman" w:hAnsi="Times New Roman"/>
          <w:sz w:val="14"/>
          <w:szCs w:val="14"/>
          <w:color w:val="auto"/>
        </w:rPr>
      </w:pPr>
    </w:p>
    <w:p>
      <w:pPr>
        <w:jc w:val="both"/>
        <w:ind w:left="1780" w:right="1719" w:hanging="134"/>
        <w:spacing w:after="0" w:line="271" w:lineRule="auto"/>
        <w:tabs>
          <w:tab w:leader="none" w:pos="1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nor does any such person, have an arrangement or understanding with any person to participate in any distribution (within the meaning of the Securities Act) of the New Notes; and</w:t>
      </w:r>
    </w:p>
    <w:p>
      <w:pPr>
        <w:spacing w:after="0" w:line="69" w:lineRule="exact"/>
        <w:rPr>
          <w:rFonts w:ascii="Times New Roman" w:cs="Times New Roman" w:eastAsia="Times New Roman" w:hAnsi="Times New Roman"/>
          <w:sz w:val="14"/>
          <w:szCs w:val="14"/>
          <w:color w:val="auto"/>
        </w:rPr>
      </w:pPr>
    </w:p>
    <w:p>
      <w:pPr>
        <w:ind w:left="1780" w:right="1399" w:hanging="134"/>
        <w:spacing w:after="0" w:line="254" w:lineRule="auto"/>
        <w:tabs>
          <w:tab w:leader="none" w:pos="1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are a broker-dealer that will receive New Notes for your own account in exchange for Old Notes, you acquired those New Notes as a result of market-making or other trading activities and you will deliver a prospectus (or to the extent permitted by law, make available a prospectus to purchasers) in connection with any resale of such New Notes.</w:t>
      </w:r>
    </w:p>
    <w:p>
      <w:pPr>
        <w:spacing w:after="0" w:line="1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Withdrawal of Tenders</w:t>
      </w:r>
    </w:p>
    <w:p>
      <w:pPr>
        <w:spacing w:after="0" w:line="111" w:lineRule="exact"/>
        <w:rPr>
          <w:sz w:val="20"/>
          <w:szCs w:val="20"/>
          <w:color w:val="auto"/>
        </w:rPr>
      </w:pPr>
    </w:p>
    <w:p>
      <w:pPr>
        <w:ind w:left="1380" w:right="1419" w:firstLine="275"/>
        <w:spacing w:after="0" w:line="264" w:lineRule="auto"/>
        <w:rPr>
          <w:sz w:val="20"/>
          <w:szCs w:val="20"/>
          <w:color w:val="auto"/>
        </w:rPr>
      </w:pPr>
      <w:r>
        <w:rPr>
          <w:rFonts w:ascii="Times New Roman" w:cs="Times New Roman" w:eastAsia="Times New Roman" w:hAnsi="Times New Roman"/>
          <w:sz w:val="14"/>
          <w:szCs w:val="14"/>
          <w:color w:val="auto"/>
        </w:rPr>
        <w:t>Except as otherwise provided in this prospectus, you may validly withdraw your tender of Old Notes at any time prior to 11:59 p.m., New York City time, on the expiration date of the exchange offer. For a withdrawal to be effective, you must comply with the appropriate procedures of DTC’s ATOP system. Any such notice of withdrawal must:</w:t>
      </w:r>
    </w:p>
    <w:p>
      <w:pPr>
        <w:spacing w:after="0" w:line="85" w:lineRule="exact"/>
        <w:rPr>
          <w:sz w:val="20"/>
          <w:szCs w:val="20"/>
          <w:color w:val="auto"/>
        </w:rPr>
      </w:pPr>
    </w:p>
    <w:p>
      <w:pPr>
        <w:ind w:left="1780" w:hanging="134"/>
        <w:spacing w:after="0"/>
        <w:tabs>
          <w:tab w:leader="none" w:pos="17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the name of the tendering holder of Old Notes;</w:t>
      </w:r>
    </w:p>
    <w:p>
      <w:pPr>
        <w:spacing w:after="0" w:line="96"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the Old Notes delivered for exchange;</w:t>
      </w:r>
    </w:p>
    <w:p>
      <w:pPr>
        <w:spacing w:after="0" w:line="106" w:lineRule="exact"/>
        <w:rPr>
          <w:rFonts w:ascii="Times New Roman" w:cs="Times New Roman" w:eastAsia="Times New Roman" w:hAnsi="Times New Roman"/>
          <w:sz w:val="14"/>
          <w:szCs w:val="14"/>
          <w:color w:val="auto"/>
        </w:rPr>
      </w:pPr>
    </w:p>
    <w:p>
      <w:pPr>
        <w:ind w:left="1780" w:right="1599" w:hanging="134"/>
        <w:spacing w:after="0" w:line="271" w:lineRule="auto"/>
        <w:tabs>
          <w:tab w:leader="none" w:pos="17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the name and number of the account at DTC to be credited with the withdrawn Old Notes; and</w:t>
      </w:r>
    </w:p>
    <w:p>
      <w:pPr>
        <w:spacing w:after="0" w:line="58"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such holder is withdrawing its election to have such Old Notes exchanged.</w:t>
      </w:r>
    </w:p>
    <w:p>
      <w:pPr>
        <w:spacing w:after="0" w:line="117" w:lineRule="exact"/>
        <w:rPr>
          <w:sz w:val="20"/>
          <w:szCs w:val="20"/>
          <w:color w:val="auto"/>
        </w:rPr>
      </w:pPr>
    </w:p>
    <w:p>
      <w:pPr>
        <w:ind w:left="1380" w:right="1459" w:firstLine="275"/>
        <w:spacing w:after="0" w:line="258" w:lineRule="auto"/>
        <w:rPr>
          <w:sz w:val="20"/>
          <w:szCs w:val="20"/>
          <w:color w:val="auto"/>
        </w:rPr>
      </w:pPr>
      <w:r>
        <w:rPr>
          <w:rFonts w:ascii="Times New Roman" w:cs="Times New Roman" w:eastAsia="Times New Roman" w:hAnsi="Times New Roman"/>
          <w:sz w:val="14"/>
          <w:szCs w:val="14"/>
          <w:color w:val="auto"/>
        </w:rPr>
        <w:t>We will determine all questions as to the validity, form and eligibility (including time of receipt) of such withdrawal notices. Any Old Notes so withdrawn will be considered not to have been validly tendered for purposes of the applicable exchange offer, and no New Notes will be issued in exchange for such Old Notes unless the Old Notes withdrawn are validly re-tendered. Any Old Notes which have been tendered but which are not accepted for exchange or which are withdrawn will be returned to the holder, without expense to such holder, promptly after withdrawal, rejection of tender or termination of the applicable exchange offer. Validly withdrawn Old Notes may be re-tendered by following one of the procedures described above under “— Procedures for Tendering” at any time prior to the expiration date of the exchange offer.</w:t>
      </w:r>
    </w:p>
    <w:p>
      <w:pPr>
        <w:spacing w:after="0" w:line="32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Exchange Agent</w:t>
      </w:r>
    </w:p>
    <w:p>
      <w:pPr>
        <w:spacing w:after="0" w:line="111" w:lineRule="exact"/>
        <w:rPr>
          <w:sz w:val="20"/>
          <w:szCs w:val="20"/>
          <w:color w:val="auto"/>
        </w:rPr>
      </w:pPr>
    </w:p>
    <w:p>
      <w:pPr>
        <w:ind w:left="1380" w:right="1539" w:firstLine="275"/>
        <w:spacing w:after="0" w:line="264" w:lineRule="auto"/>
        <w:rPr>
          <w:sz w:val="20"/>
          <w:szCs w:val="20"/>
          <w:color w:val="auto"/>
        </w:rPr>
      </w:pPr>
      <w:r>
        <w:rPr>
          <w:rFonts w:ascii="Times New Roman" w:cs="Times New Roman" w:eastAsia="Times New Roman" w:hAnsi="Times New Roman"/>
          <w:sz w:val="14"/>
          <w:szCs w:val="14"/>
          <w:color w:val="auto"/>
        </w:rPr>
        <w:t>UMB Bank, N.A., the trustee under the indenture, has been appointed the exchange agent for this exchange offer. All correspondence in connection with this exchange offer should be sent or delivered by each holder of Old Notes, or a beneficial owner’s commercial bank, broker, dealer, trust company or other nominee, to the exchange agent as follows:</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194310</wp:posOffset>
            </wp:positionV>
            <wp:extent cx="52139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1" w:name="page32"/>
    <w:bookmarkEnd w:id="31"/>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 Registered or Certified Mail, Overnight</w:t>
            </w:r>
          </w:p>
        </w:tc>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 UMB Bank, N.A.</w:t>
            </w:r>
          </w:p>
        </w:tc>
        <w:tc>
          <w:tcPr>
            <w:tcW w:w="400" w:type="dxa"/>
            <w:vAlign w:val="bottom"/>
          </w:tcPr>
          <w:p>
            <w:pPr>
              <w:ind w:left="38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65"/>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Courier, or Hand Delivery:</w:t>
            </w:r>
          </w:p>
        </w:tc>
        <w:tc>
          <w:tcPr>
            <w:tcW w:w="27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06"/>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spacing w:after="0"/>
              <w:rPr>
                <w:sz w:val="17"/>
                <w:szCs w:val="17"/>
                <w:color w:val="auto"/>
              </w:rPr>
            </w:pPr>
          </w:p>
        </w:tc>
        <w:tc>
          <w:tcPr>
            <w:tcW w:w="2700" w:type="dxa"/>
            <w:vAlign w:val="bottom"/>
          </w:tcPr>
          <w:p>
            <w:pPr>
              <w:ind w:left="140"/>
              <w:spacing w:after="0" w:line="207"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Attn: James Henry, Vice President,</w:t>
            </w:r>
          </w:p>
        </w:tc>
        <w:tc>
          <w:tcPr>
            <w:tcW w:w="400" w:type="dxa"/>
            <w:vAlign w:val="bottom"/>
          </w:tcPr>
          <w:p>
            <w:pPr>
              <w:ind w:left="38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65"/>
        </w:trPr>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Corporate Trust Services</w:t>
            </w:r>
          </w:p>
        </w:tc>
        <w:tc>
          <w:tcPr>
            <w:tcW w:w="400" w:type="dxa"/>
            <w:vAlign w:val="bottom"/>
          </w:tcPr>
          <w:p>
            <w:pPr>
              <w:spacing w:after="0"/>
              <w:rPr>
                <w:sz w:val="14"/>
                <w:szCs w:val="14"/>
                <w:color w:val="auto"/>
              </w:rPr>
            </w:pPr>
          </w:p>
        </w:tc>
      </w:tr>
      <w:tr>
        <w:trPr>
          <w:trHeight w:val="165"/>
        </w:trPr>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5555 San Felipe, Suite 870</w:t>
            </w:r>
          </w:p>
        </w:tc>
        <w:tc>
          <w:tcPr>
            <w:tcW w:w="400" w:type="dxa"/>
            <w:vAlign w:val="bottom"/>
          </w:tcPr>
          <w:p>
            <w:pPr>
              <w:spacing w:after="0"/>
              <w:rPr>
                <w:sz w:val="14"/>
                <w:szCs w:val="14"/>
                <w:color w:val="auto"/>
              </w:rPr>
            </w:pPr>
          </w:p>
        </w:tc>
      </w:tr>
      <w:tr>
        <w:trPr>
          <w:trHeight w:val="175"/>
        </w:trPr>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Houston, Texas 77056</w:t>
            </w:r>
          </w:p>
        </w:tc>
        <w:tc>
          <w:tcPr>
            <w:tcW w:w="400" w:type="dxa"/>
            <w:vAlign w:val="bottom"/>
          </w:tcPr>
          <w:p>
            <w:pPr>
              <w:spacing w:after="0"/>
              <w:rPr>
                <w:sz w:val="15"/>
                <w:szCs w:val="15"/>
                <w:color w:val="auto"/>
              </w:rPr>
            </w:pPr>
          </w:p>
        </w:tc>
      </w:t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Telephone:</w:t>
            </w:r>
          </w:p>
        </w:tc>
        <w:tc>
          <w:tcPr>
            <w:tcW w:w="2700" w:type="dxa"/>
            <w:vAlign w:val="bottom"/>
          </w:tcPr>
          <w:p>
            <w:pPr>
              <w:ind w:left="140"/>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3"/>
                <w:szCs w:val="13"/>
                <w:color w:val="auto"/>
              </w:rPr>
              <w:t xml:space="preserve"> (512) 582-5851</w:t>
            </w:r>
          </w:p>
        </w:tc>
        <w:tc>
          <w:tcPr>
            <w:tcW w:w="400" w:type="dxa"/>
            <w:vAlign w:val="bottom"/>
          </w:tcPr>
          <w:p>
            <w:pPr>
              <w:ind w:left="38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Facsimile:</w:t>
            </w:r>
          </w:p>
        </w:tc>
        <w:tc>
          <w:tcPr>
            <w:tcW w:w="2700" w:type="dxa"/>
            <w:vAlign w:val="bottom"/>
          </w:tcPr>
          <w:p>
            <w:pPr>
              <w:ind w:left="140"/>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3"/>
                <w:szCs w:val="13"/>
                <w:color w:val="auto"/>
              </w:rPr>
              <w:t xml:space="preserve"> (214) 389-5949</w:t>
            </w:r>
          </w:p>
        </w:tc>
        <w:tc>
          <w:tcPr>
            <w:tcW w:w="400" w:type="dxa"/>
            <w:vAlign w:val="bottom"/>
          </w:tcPr>
          <w:p>
            <w:pPr>
              <w:ind w:left="38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54"/>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Email:</w:t>
            </w:r>
          </w:p>
        </w:tc>
        <w:tc>
          <w:tcPr>
            <w:tcW w:w="2700" w:type="dxa"/>
            <w:vAlign w:val="bottom"/>
          </w:tcPr>
          <w:p>
            <w:pPr>
              <w:ind w:left="140"/>
              <w:spacing w:after="0"/>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James.henry@umb.com</w:t>
            </w:r>
          </w:p>
        </w:tc>
        <w:tc>
          <w:tcPr>
            <w:tcW w:w="400" w:type="dxa"/>
            <w:vAlign w:val="bottom"/>
          </w:tcPr>
          <w:p>
            <w:pPr>
              <w:ind w:left="380"/>
              <w:spacing w:after="0"/>
              <w:rPr>
                <w:sz w:val="20"/>
                <w:szCs w:val="20"/>
                <w:color w:val="auto"/>
              </w:rPr>
            </w:pPr>
            <w:r>
              <w:rPr>
                <w:rFonts w:ascii="Times New Roman" w:cs="Times New Roman" w:eastAsia="Times New Roman" w:hAnsi="Times New Roman"/>
                <w:sz w:val="1"/>
                <w:szCs w:val="1"/>
                <w:color w:val="auto"/>
                <w:w w:val="4294942296"/>
              </w:rPr>
              <w:t>​</w:t>
            </w:r>
          </w:p>
        </w:tc>
      </w:tr>
    </w:tbl>
    <w:p>
      <w:pPr>
        <w:ind w:left="1380" w:right="1419" w:firstLine="275"/>
        <w:spacing w:after="0" w:line="237" w:lineRule="auto"/>
        <w:rPr>
          <w:sz w:val="20"/>
          <w:szCs w:val="20"/>
          <w:color w:val="auto"/>
        </w:rPr>
      </w:pPr>
      <w:r>
        <w:rPr>
          <w:rFonts w:ascii="Times New Roman" w:cs="Times New Roman" w:eastAsia="Times New Roman" w:hAnsi="Times New Roman"/>
          <w:sz w:val="14"/>
          <w:szCs w:val="14"/>
          <w:color w:val="auto"/>
        </w:rPr>
        <w:t>We will pay the exchange agent reasonable and customary fees for its services and will reimburse it for its reasonable, out-of-pocket expenses in connection with this exchange offer.</w:t>
      </w:r>
    </w:p>
    <w:p>
      <w:pPr>
        <w:spacing w:after="0" w:line="14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111" w:lineRule="exact"/>
        <w:rPr>
          <w:sz w:val="20"/>
          <w:szCs w:val="20"/>
          <w:color w:val="auto"/>
        </w:rPr>
      </w:pPr>
    </w:p>
    <w:p>
      <w:pPr>
        <w:ind w:left="1380" w:right="1579" w:firstLine="275"/>
        <w:spacing w:after="0" w:line="251" w:lineRule="auto"/>
        <w:rPr>
          <w:sz w:val="20"/>
          <w:szCs w:val="20"/>
          <w:color w:val="auto"/>
        </w:rPr>
      </w:pPr>
      <w:r>
        <w:rPr>
          <w:rFonts w:ascii="Times New Roman" w:cs="Times New Roman" w:eastAsia="Times New Roman" w:hAnsi="Times New Roman"/>
          <w:sz w:val="14"/>
          <w:szCs w:val="14"/>
          <w:color w:val="auto"/>
        </w:rPr>
        <w:t>We will bear the expenses of soliciting tenders of the Old Notes and issuance of the New Notes. The principal solicitation is being made by mail. However, we may make additional solicitations by email, telephone or in person by our officers and employees and those of our affiliates.</w:t>
      </w:r>
    </w:p>
    <w:p>
      <w:pPr>
        <w:spacing w:after="0" w:line="82" w:lineRule="exact"/>
        <w:rPr>
          <w:sz w:val="20"/>
          <w:szCs w:val="20"/>
          <w:color w:val="auto"/>
        </w:rPr>
      </w:pPr>
    </w:p>
    <w:p>
      <w:pPr>
        <w:ind w:left="1380" w:right="1419" w:firstLine="275"/>
        <w:spacing w:after="0"/>
        <w:rPr>
          <w:sz w:val="20"/>
          <w:szCs w:val="20"/>
          <w:color w:val="auto"/>
        </w:rPr>
      </w:pPr>
      <w:r>
        <w:rPr>
          <w:rFonts w:ascii="Times New Roman" w:cs="Times New Roman" w:eastAsia="Times New Roman" w:hAnsi="Times New Roman"/>
          <w:sz w:val="14"/>
          <w:szCs w:val="14"/>
          <w:color w:val="auto"/>
        </w:rPr>
        <w:t>We have not retained any dealer-manager in connection with the exchange offer and will not make any payments to broker-dealers or others soliciting acceptances of the exchange offer. As indicated above, we will, however, pay the exchange agent reasonable and customary fees for its services and reimburse it for its related reasonable out-of-pocket expenses. We will also pay any other cash expenses that we incur in connection with the exchange offer.</w:t>
      </w:r>
    </w:p>
    <w:p>
      <w:pPr>
        <w:spacing w:after="0" w:line="92" w:lineRule="exact"/>
        <w:rPr>
          <w:sz w:val="20"/>
          <w:szCs w:val="20"/>
          <w:color w:val="auto"/>
        </w:rPr>
      </w:pPr>
    </w:p>
    <w:p>
      <w:pPr>
        <w:jc w:val="both"/>
        <w:ind w:left="1380" w:right="1639" w:firstLine="275"/>
        <w:spacing w:after="0" w:line="251" w:lineRule="auto"/>
        <w:rPr>
          <w:sz w:val="20"/>
          <w:szCs w:val="20"/>
          <w:color w:val="auto"/>
        </w:rPr>
      </w:pPr>
      <w:r>
        <w:rPr>
          <w:rFonts w:ascii="Times New Roman" w:cs="Times New Roman" w:eastAsia="Times New Roman" w:hAnsi="Times New Roman"/>
          <w:sz w:val="14"/>
          <w:szCs w:val="14"/>
          <w:color w:val="auto"/>
        </w:rPr>
        <w:t>Except as described below, we will pay all transfer taxes, if any, applicable to the exchange of Old Notes under the exchange offer. The tendering holder will be required to pay any transfer taxes, whether imposed on the registered holder or any other person, if:</w:t>
      </w:r>
    </w:p>
    <w:p>
      <w:pPr>
        <w:spacing w:after="0" w:line="51" w:lineRule="exact"/>
        <w:rPr>
          <w:sz w:val="20"/>
          <w:szCs w:val="20"/>
          <w:color w:val="auto"/>
        </w:rPr>
      </w:pPr>
    </w:p>
    <w:p>
      <w:pPr>
        <w:ind w:left="1780" w:right="1499" w:hanging="134"/>
        <w:spacing w:after="0" w:line="271"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Notes and/or substitute Old Notes not exchanged are to be delivered to, or registered or issued in the name of, any person other than the registered holder of the Old Notes so exchanged; or</w:t>
      </w:r>
    </w:p>
    <w:p>
      <w:pPr>
        <w:spacing w:after="0" w:line="38" w:lineRule="exact"/>
        <w:rPr>
          <w:rFonts w:ascii="Times New Roman" w:cs="Times New Roman" w:eastAsia="Times New Roman" w:hAnsi="Times New Roman"/>
          <w:sz w:val="14"/>
          <w:szCs w:val="14"/>
          <w:color w:val="auto"/>
        </w:rPr>
      </w:pPr>
    </w:p>
    <w:p>
      <w:pPr>
        <w:ind w:left="1780" w:right="1619" w:hanging="134"/>
        <w:spacing w:after="0" w:line="271"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transfer tax is imposed for any reason other than the exchange of Old Notes under the exchange offer.</w:t>
      </w:r>
    </w:p>
    <w:p>
      <w:pPr>
        <w:spacing w:after="0" w:line="69" w:lineRule="exact"/>
        <w:rPr>
          <w:sz w:val="20"/>
          <w:szCs w:val="20"/>
          <w:color w:val="auto"/>
        </w:rPr>
      </w:pPr>
    </w:p>
    <w:p>
      <w:pPr>
        <w:ind w:left="1380" w:right="1519" w:firstLine="275"/>
        <w:spacing w:after="0" w:line="271" w:lineRule="auto"/>
        <w:rPr>
          <w:sz w:val="20"/>
          <w:szCs w:val="20"/>
          <w:color w:val="auto"/>
        </w:rPr>
      </w:pPr>
      <w:r>
        <w:rPr>
          <w:rFonts w:ascii="Times New Roman" w:cs="Times New Roman" w:eastAsia="Times New Roman" w:hAnsi="Times New Roman"/>
          <w:sz w:val="14"/>
          <w:szCs w:val="14"/>
          <w:color w:val="auto"/>
        </w:rPr>
        <w:t>If satisfactory evidence of payment of transfer taxes is not submitted with the letter of transmittal, the amount of any transfer taxes will be billed to the tendering holder.</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Accounting Treatment</w:t>
      </w:r>
    </w:p>
    <w:p>
      <w:pPr>
        <w:spacing w:after="0" w:line="121" w:lineRule="exact"/>
        <w:rPr>
          <w:sz w:val="20"/>
          <w:szCs w:val="20"/>
          <w:color w:val="auto"/>
        </w:rPr>
      </w:pPr>
    </w:p>
    <w:p>
      <w:pPr>
        <w:ind w:left="1380" w:right="1499" w:firstLine="275"/>
        <w:spacing w:after="0" w:line="243" w:lineRule="auto"/>
        <w:rPr>
          <w:sz w:val="20"/>
          <w:szCs w:val="20"/>
          <w:color w:val="auto"/>
        </w:rPr>
      </w:pPr>
      <w:r>
        <w:rPr>
          <w:rFonts w:ascii="Times New Roman" w:cs="Times New Roman" w:eastAsia="Times New Roman" w:hAnsi="Times New Roman"/>
          <w:sz w:val="14"/>
          <w:szCs w:val="14"/>
          <w:color w:val="auto"/>
        </w:rPr>
        <w:t>We will record the New Notes at the same carrying value as the Old Notes reflected in our accounting records on the date of the exchange. Accordingly, we will not recognize any gain or loss for accounting purposes upon completion of the exchange offer.</w:t>
      </w:r>
    </w:p>
    <w:p>
      <w:pPr>
        <w:spacing w:after="0" w:line="14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Consequences of Failure to Exchange</w:t>
      </w:r>
    </w:p>
    <w:p>
      <w:pPr>
        <w:spacing w:after="0" w:line="9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Old Notes that are not exchanged will remain “restricted securities” within the meaning of Rule 144(a)(3)</w:t>
      </w:r>
    </w:p>
    <w:p>
      <w:pPr>
        <w:ind w:left="1380"/>
        <w:spacing w:after="0"/>
        <w:rPr>
          <w:sz w:val="20"/>
          <w:szCs w:val="20"/>
          <w:color w:val="auto"/>
        </w:rPr>
      </w:pPr>
      <w:r>
        <w:rPr>
          <w:rFonts w:ascii="Times New Roman" w:cs="Times New Roman" w:eastAsia="Times New Roman" w:hAnsi="Times New Roman"/>
          <w:sz w:val="13"/>
          <w:szCs w:val="13"/>
          <w:color w:val="auto"/>
        </w:rPr>
        <w:t>under the Securities Act.​</w:t>
      </w:r>
    </w:p>
    <w:p>
      <w:pPr>
        <w:spacing w:after="0" w:line="9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Accordingly, they may not be offered, sold, pledged or otherwise transferred except:</w:t>
      </w:r>
    </w:p>
    <w:p>
      <w:pPr>
        <w:spacing w:after="0" w:line="76" w:lineRule="exact"/>
        <w:rPr>
          <w:sz w:val="20"/>
          <w:szCs w:val="20"/>
          <w:color w:val="auto"/>
        </w:rPr>
      </w:pPr>
    </w:p>
    <w:p>
      <w:pPr>
        <w:ind w:left="1780" w:hanging="134"/>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 or to any of our subsidiaries;</w:t>
      </w:r>
    </w:p>
    <w:p>
      <w:pPr>
        <w:spacing w:after="0" w:line="76"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a registration statement which has been declared effective under the Securities Act;</w:t>
      </w:r>
    </w:p>
    <w:p>
      <w:pPr>
        <w:spacing w:after="0" w:line="76" w:lineRule="exact"/>
        <w:rPr>
          <w:rFonts w:ascii="Times New Roman" w:cs="Times New Roman" w:eastAsia="Times New Roman" w:hAnsi="Times New Roman"/>
          <w:sz w:val="14"/>
          <w:szCs w:val="14"/>
          <w:color w:val="auto"/>
        </w:rPr>
      </w:pPr>
    </w:p>
    <w:p>
      <w:pPr>
        <w:ind w:left="1780" w:right="1399" w:hanging="134"/>
        <w:spacing w:after="0" w:line="252"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so long as the Old Notes are eligible for resale pursuant to Rule 144A under the Securities Act, to a person the holder of the Old Notes and any person acting on its behalf reasonably believes is a “qualified institutional buyer” as defined in Rule 144A, that purchases for its own account or for the account of another qualified institutional buyer, in each case to whom notice is given that the transfer is being made in reliance on Rule 144A; or</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2" w:name="page33"/>
    <w:bookmarkEnd w:id="32"/>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80" w:right="1439" w:hanging="134"/>
        <w:spacing w:after="0" w:line="258" w:lineRule="auto"/>
        <w:tabs>
          <w:tab w:leader="none" w:pos="1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any other available exemption from the registration requirements of the Securities Act (in which case we and the trustee shall have the right to require the delivery of an opinion of counsel (at the holder’s sole cost), certifications and/or other information satisfactory to us and the trustee);</w:t>
      </w:r>
    </w:p>
    <w:p>
      <w:pPr>
        <w:spacing w:after="0" w:line="8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 each case subject to compliance with any applicable foreign, state or other securities laws.</w:t>
      </w:r>
    </w:p>
    <w:p>
      <w:pPr>
        <w:spacing w:after="0" w:line="117" w:lineRule="exact"/>
        <w:rPr>
          <w:sz w:val="20"/>
          <w:szCs w:val="20"/>
          <w:color w:val="auto"/>
        </w:rPr>
      </w:pPr>
    </w:p>
    <w:p>
      <w:pPr>
        <w:ind w:left="1380" w:right="1419" w:firstLine="275"/>
        <w:spacing w:after="0" w:line="250" w:lineRule="auto"/>
        <w:rPr>
          <w:sz w:val="20"/>
          <w:szCs w:val="20"/>
          <w:color w:val="auto"/>
        </w:rPr>
      </w:pPr>
      <w:r>
        <w:rPr>
          <w:rFonts w:ascii="Times New Roman" w:cs="Times New Roman" w:eastAsia="Times New Roman" w:hAnsi="Times New Roman"/>
          <w:sz w:val="14"/>
          <w:szCs w:val="14"/>
          <w:color w:val="auto"/>
        </w:rPr>
        <w:t>Upon completion of the exchange offer, due to the restrictions on transfer of the Old Notes and the absence of such restrictions applicable to the New Notes, it is likely that the market, if any, for Old Notes will be relatively less liquid than the market for New Notes. Consequently, holders of Old Notes who do not participate in the exchange offer could experience significant diminution in the value of their Old Notes, compared to the value of the New Notes. The holders of Old Notes not tendered will have no further registration rights, except that, under limited circumstances specified in the registration rights agreement, we may be required to file a shelf registration statement for a continuous offer of Old Notes.</w:t>
      </w:r>
    </w:p>
    <w:p>
      <w:pPr>
        <w:spacing w:after="0" w:line="14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Additional Information Regarding the Registration Rights Agreement</w:t>
      </w:r>
    </w:p>
    <w:p>
      <w:pPr>
        <w:spacing w:after="0" w:line="111" w:lineRule="exact"/>
        <w:rPr>
          <w:sz w:val="20"/>
          <w:szCs w:val="20"/>
          <w:color w:val="auto"/>
        </w:rPr>
      </w:pPr>
    </w:p>
    <w:p>
      <w:pPr>
        <w:ind w:left="1380" w:right="1519" w:firstLine="275"/>
        <w:spacing w:after="0" w:line="254" w:lineRule="auto"/>
        <w:rPr>
          <w:sz w:val="20"/>
          <w:szCs w:val="20"/>
          <w:color w:val="auto"/>
        </w:rPr>
      </w:pPr>
      <w:r>
        <w:rPr>
          <w:rFonts w:ascii="Times New Roman" w:cs="Times New Roman" w:eastAsia="Times New Roman" w:hAnsi="Times New Roman"/>
          <w:sz w:val="14"/>
          <w:szCs w:val="14"/>
          <w:color w:val="auto"/>
        </w:rPr>
        <w:t>As noted above, we are effecting the exchange offer to comply with the registration rights agreement. The registration rights agreement requires us to cause an exchange offer registration statement to be filed with the SEC under the Securities Act, use our commercially reasonable efforts to cause the registration statement to become effective, and satisfy certain other obligations, within certain time periods.</w:t>
      </w:r>
    </w:p>
    <w:p>
      <w:pPr>
        <w:spacing w:after="0" w:line="9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In the event that:</w:t>
      </w:r>
    </w:p>
    <w:p>
      <w:pPr>
        <w:spacing w:after="0" w:line="86" w:lineRule="exact"/>
        <w:rPr>
          <w:sz w:val="20"/>
          <w:szCs w:val="20"/>
          <w:color w:val="auto"/>
        </w:rPr>
      </w:pPr>
    </w:p>
    <w:p>
      <w:pPr>
        <w:ind w:left="1780" w:right="1439" w:hanging="134"/>
        <w:spacing w:after="0" w:line="271"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is not filed with the SEC on or prior to June 9, 2026, which is the 90th day after March 11, 2026;</w:t>
      </w:r>
    </w:p>
    <w:p>
      <w:pPr>
        <w:spacing w:after="0" w:line="48" w:lineRule="exact"/>
        <w:rPr>
          <w:rFonts w:ascii="Times New Roman" w:cs="Times New Roman" w:eastAsia="Times New Roman" w:hAnsi="Times New Roman"/>
          <w:sz w:val="14"/>
          <w:szCs w:val="14"/>
          <w:color w:val="auto"/>
        </w:rPr>
      </w:pPr>
    </w:p>
    <w:p>
      <w:pPr>
        <w:ind w:left="1780" w:right="1499" w:hanging="134"/>
        <w:spacing w:after="0" w:line="271"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has not been declared effective by the SEC on or prior to August 8, 2026, which is the 150th day after March 11, 2026; or</w:t>
      </w:r>
    </w:p>
    <w:p>
      <w:pPr>
        <w:spacing w:after="0" w:line="48" w:lineRule="exact"/>
        <w:rPr>
          <w:rFonts w:ascii="Times New Roman" w:cs="Times New Roman" w:eastAsia="Times New Roman" w:hAnsi="Times New Roman"/>
          <w:sz w:val="14"/>
          <w:szCs w:val="14"/>
          <w:color w:val="auto"/>
        </w:rPr>
      </w:pPr>
    </w:p>
    <w:p>
      <w:pPr>
        <w:ind w:left="1780" w:right="1639" w:hanging="134"/>
        <w:spacing w:after="0" w:line="271"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offer is not completed on or prior to the 45th day following the effective date of the registration statement;</w:t>
      </w:r>
    </w:p>
    <w:p>
      <w:pPr>
        <w:spacing w:after="0" w:line="80" w:lineRule="exact"/>
        <w:rPr>
          <w:sz w:val="20"/>
          <w:szCs w:val="20"/>
          <w:color w:val="auto"/>
        </w:rPr>
      </w:pPr>
    </w:p>
    <w:p>
      <w:pPr>
        <w:ind w:left="1380" w:right="1519"/>
        <w:spacing w:after="0" w:line="252" w:lineRule="auto"/>
        <w:rPr>
          <w:sz w:val="20"/>
          <w:szCs w:val="20"/>
          <w:color w:val="auto"/>
        </w:rPr>
      </w:pPr>
      <w:r>
        <w:rPr>
          <w:rFonts w:ascii="Times New Roman" w:cs="Times New Roman" w:eastAsia="Times New Roman" w:hAnsi="Times New Roman"/>
          <w:sz w:val="14"/>
          <w:szCs w:val="14"/>
          <w:color w:val="auto"/>
        </w:rPr>
        <w:t>the interest rate on the Old Notes will be increased by a rate of 0.25% per annum immediately following such registration default and will increase by 0.25% per annum immediately following each 60-day period during which additional interest accrues, but in no event will such increase exceed 0.50% per annum. Following the cure of all such registration defaults, the accrual of additional interest will cease and the interest rate will be immediately reduced to the original interest rate borne by the Old Notes.</w:t>
      </w:r>
    </w:p>
    <w:p>
      <w:pPr>
        <w:spacing w:after="0" w:line="82" w:lineRule="exact"/>
        <w:rPr>
          <w:sz w:val="20"/>
          <w:szCs w:val="20"/>
          <w:color w:val="auto"/>
        </w:rPr>
      </w:pPr>
    </w:p>
    <w:p>
      <w:pPr>
        <w:ind w:left="1380" w:right="1699" w:firstLine="275"/>
        <w:spacing w:after="0" w:line="258" w:lineRule="auto"/>
        <w:rPr>
          <w:sz w:val="20"/>
          <w:szCs w:val="20"/>
          <w:color w:val="auto"/>
        </w:rPr>
      </w:pPr>
      <w:r>
        <w:rPr>
          <w:rFonts w:ascii="Times New Roman" w:cs="Times New Roman" w:eastAsia="Times New Roman" w:hAnsi="Times New Roman"/>
          <w:sz w:val="14"/>
          <w:szCs w:val="14"/>
          <w:color w:val="auto"/>
        </w:rPr>
        <w:t>Our obligation to register the New Notes will terminate upon completion of the exchange offer. However, under certain limited circumstances specified in the registration rights agreement, we may be required to file a shelf registration statement for a continuous offer in connection with the Old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3" w:name="page34"/>
    <w:bookmarkEnd w:id="33"/>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THE NOTES</w:t>
      </w:r>
    </w:p>
    <w:p>
      <w:pPr>
        <w:spacing w:after="0" w:line="121" w:lineRule="exact"/>
        <w:rPr>
          <w:sz w:val="20"/>
          <w:szCs w:val="20"/>
          <w:color w:val="auto"/>
        </w:rPr>
      </w:pPr>
    </w:p>
    <w:p>
      <w:pPr>
        <w:ind w:left="1380" w:right="1479" w:firstLine="275"/>
        <w:spacing w:after="0" w:line="239" w:lineRule="auto"/>
        <w:rPr>
          <w:sz w:val="20"/>
          <w:szCs w:val="20"/>
          <w:color w:val="auto"/>
        </w:rPr>
      </w:pPr>
      <w:r>
        <w:rPr>
          <w:rFonts w:ascii="Times New Roman" w:cs="Times New Roman" w:eastAsia="Times New Roman" w:hAnsi="Times New Roman"/>
          <w:sz w:val="14"/>
          <w:szCs w:val="14"/>
          <w:color w:val="auto"/>
        </w:rPr>
        <w:t>On March 11, 2026, we issued $85 million in aggregate principal amount of our 5.75% Fixed-to-Floating Rate Subordinated Notes due 2036, which we have referred to in this prospectus as the Old Notes. The Old Notes were issued in a private placement transaction to certain institutional accredited investors and qualified institutional buyers, and as such, were not registered under the Securities Act. The Old Notes were issued under an indenture dated March 11, 2026, between HBT Financial, Inc., as issuer, and UMB Bank, N.A., as trustee, which we have referred to in this prospectus as the “indenture.” The term “notes” refers collectively to the Old Notes and the New Notes.</w:t>
      </w:r>
    </w:p>
    <w:p>
      <w:pPr>
        <w:spacing w:after="0" w:line="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The New Notes will be issued under the indenture and will evidence the same debt as the Old Notes.</w:t>
      </w:r>
    </w:p>
    <w:p>
      <w:pPr>
        <w:spacing w:after="0" w:line="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 terms of the New Notes are identical in all material respects to those of the Old Notes, except that:</w:t>
      </w:r>
    </w:p>
    <w:p>
      <w:pPr>
        <w:spacing w:after="0" w:line="62" w:lineRule="exact"/>
        <w:rPr>
          <w:sz w:val="20"/>
          <w:szCs w:val="20"/>
          <w:color w:val="auto"/>
        </w:rPr>
      </w:pPr>
    </w:p>
    <w:p>
      <w:pPr>
        <w:ind w:left="1780" w:right="1519" w:hanging="134"/>
        <w:spacing w:after="0" w:line="271" w:lineRule="auto"/>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Notes have been registered with the SEC under the Securities Act and, as a result, will not bear any legend restricting their transfer;</w:t>
      </w:r>
    </w:p>
    <w:p>
      <w:pPr>
        <w:spacing w:after="0" w:line="38"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Notes bear different CUSIP numbers from the Old Notes;</w:t>
      </w:r>
    </w:p>
    <w:p>
      <w:pPr>
        <w:spacing w:after="0" w:line="76"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Notes generally will not be subject to transfer restrictions;</w:t>
      </w:r>
    </w:p>
    <w:p>
      <w:pPr>
        <w:spacing w:after="0" w:line="76" w:lineRule="exact"/>
        <w:rPr>
          <w:rFonts w:ascii="Times New Roman" w:cs="Times New Roman" w:eastAsia="Times New Roman" w:hAnsi="Times New Roman"/>
          <w:sz w:val="14"/>
          <w:szCs w:val="14"/>
          <w:color w:val="auto"/>
        </w:rPr>
      </w:pPr>
    </w:p>
    <w:p>
      <w:pPr>
        <w:ind w:left="1780" w:right="1619" w:hanging="134"/>
        <w:spacing w:after="0" w:line="271" w:lineRule="auto"/>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Notes will not be entitled to registration rights under the registration rights agreement or otherwise; and</w:t>
      </w:r>
    </w:p>
    <w:p>
      <w:pPr>
        <w:spacing w:after="0" w:line="38" w:lineRule="exact"/>
        <w:rPr>
          <w:rFonts w:ascii="Times New Roman" w:cs="Times New Roman" w:eastAsia="Times New Roman" w:hAnsi="Times New Roman"/>
          <w:sz w:val="14"/>
          <w:szCs w:val="14"/>
          <w:color w:val="auto"/>
        </w:rPr>
      </w:pPr>
    </w:p>
    <w:p>
      <w:pPr>
        <w:ind w:left="1780" w:right="1539" w:hanging="134"/>
        <w:spacing w:after="0" w:line="258" w:lineRule="auto"/>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New Notes will not be entitled to registration rights, holders of the New Notes will not have the right to additional interest under the circumstances described in the registration rights agreement relating to our fulfillment of our registration obligations.</w:t>
      </w:r>
    </w:p>
    <w:p>
      <w:pPr>
        <w:spacing w:after="0" w:line="89" w:lineRule="exact"/>
        <w:rPr>
          <w:sz w:val="20"/>
          <w:szCs w:val="20"/>
          <w:color w:val="auto"/>
        </w:rPr>
      </w:pPr>
    </w:p>
    <w:p>
      <w:pPr>
        <w:ind w:left="1380" w:right="1439" w:firstLine="275"/>
        <w:spacing w:after="0"/>
        <w:rPr>
          <w:sz w:val="20"/>
          <w:szCs w:val="20"/>
          <w:color w:val="auto"/>
        </w:rPr>
      </w:pPr>
      <w:r>
        <w:rPr>
          <w:rFonts w:ascii="Times New Roman" w:cs="Times New Roman" w:eastAsia="Times New Roman" w:hAnsi="Times New Roman"/>
          <w:sz w:val="14"/>
          <w:szCs w:val="14"/>
          <w:color w:val="auto"/>
        </w:rPr>
        <w:t>The New Notes will be issued only in registered form without coupons and in minimum denominations of $100,000 and any integral multiple of $ 1,000 in excess thereof. Unless otherwise required for institutional accredited investors, the New Notes will be evidenced by a global note deposited with the trustee for the New Notes, as custodian for The Depository Trust Company, or DTC and transfers of beneficial interests will be facilitated only through records maintained by DTC and its participants.</w:t>
      </w:r>
    </w:p>
    <w:p>
      <w:pPr>
        <w:spacing w:after="0" w:line="92" w:lineRule="exact"/>
        <w:rPr>
          <w:sz w:val="20"/>
          <w:szCs w:val="20"/>
          <w:color w:val="auto"/>
        </w:rPr>
      </w:pPr>
    </w:p>
    <w:p>
      <w:pPr>
        <w:ind w:left="1380" w:right="1499" w:firstLine="275"/>
        <w:spacing w:after="0" w:line="256" w:lineRule="auto"/>
        <w:rPr>
          <w:sz w:val="20"/>
          <w:szCs w:val="20"/>
          <w:color w:val="auto"/>
        </w:rPr>
      </w:pPr>
      <w:r>
        <w:rPr>
          <w:rFonts w:ascii="Times New Roman" w:cs="Times New Roman" w:eastAsia="Times New Roman" w:hAnsi="Times New Roman"/>
          <w:sz w:val="14"/>
          <w:szCs w:val="14"/>
          <w:color w:val="auto"/>
        </w:rPr>
        <w:t>The terms of the New Notes include those stated in the indenture and those made part of the indenture by reference to the Trust Indenture Act.</w:t>
      </w:r>
    </w:p>
    <w:p>
      <w:pPr>
        <w:spacing w:after="0" w:line="79" w:lineRule="exact"/>
        <w:rPr>
          <w:sz w:val="20"/>
          <w:szCs w:val="20"/>
          <w:color w:val="auto"/>
        </w:rPr>
      </w:pPr>
    </w:p>
    <w:p>
      <w:pPr>
        <w:ind w:left="1380" w:right="1439" w:firstLine="275"/>
        <w:spacing w:after="0"/>
        <w:rPr>
          <w:sz w:val="20"/>
          <w:szCs w:val="20"/>
          <w:color w:val="auto"/>
        </w:rPr>
      </w:pPr>
      <w:r>
        <w:rPr>
          <w:rFonts w:ascii="Times New Roman" w:cs="Times New Roman" w:eastAsia="Times New Roman" w:hAnsi="Times New Roman"/>
          <w:sz w:val="14"/>
          <w:szCs w:val="14"/>
          <w:color w:val="auto"/>
        </w:rPr>
        <w:t>The following provides a summary of certain terms of the indenture and the New Notes. This summary is qualified in its entirety by reference to the complete version of the indenture, which is incorporated by reference as an exhibit to the registration statement of which this prospectus is a part and to the form of New Notes, which is included as an exhibit to the registration statement of which this prospectus is a part. We urge you to read the indenture and the form of New Notes because those documents, not this summary description, define your rights as holders of the New Notes. Whenever we refer to the defined terms of the indenture in this prospectus without defining them, the terms have the meanings given to them in the indenture. You must look to the indenture for the most complete description of the information summarized in this prospectus.</w:t>
      </w:r>
    </w:p>
    <w:p>
      <w:pPr>
        <w:spacing w:after="0" w:line="29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1" w:lineRule="exact"/>
        <w:rPr>
          <w:sz w:val="20"/>
          <w:szCs w:val="20"/>
          <w:color w:val="auto"/>
        </w:rPr>
      </w:pPr>
    </w:p>
    <w:p>
      <w:pPr>
        <w:ind w:left="1380" w:right="1579" w:firstLine="275"/>
        <w:spacing w:after="0" w:line="244" w:lineRule="auto"/>
        <w:rPr>
          <w:sz w:val="20"/>
          <w:szCs w:val="20"/>
          <w:color w:val="auto"/>
        </w:rPr>
      </w:pPr>
      <w:r>
        <w:rPr>
          <w:rFonts w:ascii="Times New Roman" w:cs="Times New Roman" w:eastAsia="Times New Roman" w:hAnsi="Times New Roman"/>
          <w:sz w:val="14"/>
          <w:szCs w:val="14"/>
          <w:color w:val="auto"/>
        </w:rPr>
        <w:t>The exchange offer for the New Notes will be for up to $85 million in aggregate principal amount of the Old Notes. The New Notes, together with any Old Notes that remain outstanding after the exchange offer, will be treated as a single class for all purposes of the indenture, including, without limitation, waivers, consents, amendments, redemptions and offers to purchase.</w:t>
      </w:r>
    </w:p>
    <w:p>
      <w:pPr>
        <w:spacing w:after="0" w:line="13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Principal, Maturity and Interest</w:t>
      </w:r>
    </w:p>
    <w:p>
      <w:pPr>
        <w:spacing w:after="0" w:line="121" w:lineRule="exact"/>
        <w:rPr>
          <w:sz w:val="20"/>
          <w:szCs w:val="20"/>
          <w:color w:val="auto"/>
        </w:rPr>
      </w:pPr>
    </w:p>
    <w:p>
      <w:pPr>
        <w:ind w:left="1380" w:right="1559" w:firstLine="275"/>
        <w:spacing w:after="0" w:line="244" w:lineRule="auto"/>
        <w:rPr>
          <w:sz w:val="20"/>
          <w:szCs w:val="20"/>
          <w:color w:val="auto"/>
        </w:rPr>
      </w:pPr>
      <w:r>
        <w:rPr>
          <w:rFonts w:ascii="Times New Roman" w:cs="Times New Roman" w:eastAsia="Times New Roman" w:hAnsi="Times New Roman"/>
          <w:sz w:val="14"/>
          <w:szCs w:val="14"/>
          <w:color w:val="auto"/>
        </w:rPr>
        <w:t>The New Notes have materially identical interest terms as the Old Notes except with respect to additional interest that may be earned on the Old Notes under circumstances relating to our registration obligations under the registration rights agreement. Interest on the notes will accrue from and including March 11, 2026. The notes will mature and become payable, unless earlier redeemed, on March 15, 2036.</w:t>
      </w:r>
    </w:p>
    <w:p>
      <w:pPr>
        <w:spacing w:after="0" w:line="87" w:lineRule="exact"/>
        <w:rPr>
          <w:sz w:val="20"/>
          <w:szCs w:val="20"/>
          <w:color w:val="auto"/>
        </w:rPr>
      </w:pPr>
    </w:p>
    <w:p>
      <w:pPr>
        <w:jc w:val="both"/>
        <w:ind w:left="1380" w:right="1599" w:firstLine="275"/>
        <w:spacing w:after="0" w:line="256" w:lineRule="auto"/>
        <w:rPr>
          <w:sz w:val="20"/>
          <w:szCs w:val="20"/>
          <w:color w:val="auto"/>
        </w:rPr>
      </w:pPr>
      <w:r>
        <w:rPr>
          <w:rFonts w:ascii="Times New Roman" w:cs="Times New Roman" w:eastAsia="Times New Roman" w:hAnsi="Times New Roman"/>
          <w:sz w:val="14"/>
          <w:szCs w:val="14"/>
          <w:color w:val="auto"/>
        </w:rPr>
        <w:t>From and including March 11, 2026, or from the most recent date to which interest has been paid or duly provided for, to but excluding March 15, 2031 or earlier redemption date (the “Fixed Rate Period”),</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4" w:name="page35"/>
    <w:bookmarkEnd w:id="34"/>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419"/>
        <w:spacing w:after="0" w:line="244" w:lineRule="auto"/>
        <w:rPr>
          <w:sz w:val="20"/>
          <w:szCs w:val="20"/>
          <w:color w:val="auto"/>
        </w:rPr>
      </w:pPr>
      <w:r>
        <w:rPr>
          <w:rFonts w:ascii="Times New Roman" w:cs="Times New Roman" w:eastAsia="Times New Roman" w:hAnsi="Times New Roman"/>
          <w:sz w:val="14"/>
          <w:szCs w:val="14"/>
          <w:color w:val="auto"/>
        </w:rPr>
        <w:t>the New Notes will bear interest at a fixed rate equal to 5.75% per year, payable semi-annually in arrears on March 15 and September 15 of each year (each a “Fixed Interest Payment Date”), beginning on September 15, 2026, and interest will be computed on the basis of a 360-day year consisting of twelve 30-day months.</w:t>
      </w:r>
    </w:p>
    <w:p>
      <w:pPr>
        <w:spacing w:after="0" w:line="251" w:lineRule="exact"/>
        <w:rPr>
          <w:sz w:val="20"/>
          <w:szCs w:val="20"/>
          <w:color w:val="auto"/>
        </w:rPr>
      </w:pPr>
    </w:p>
    <w:p>
      <w:pPr>
        <w:ind w:left="1380" w:right="1419" w:firstLine="275"/>
        <w:spacing w:after="0" w:line="241" w:lineRule="auto"/>
        <w:rPr>
          <w:sz w:val="20"/>
          <w:szCs w:val="20"/>
          <w:color w:val="auto"/>
        </w:rPr>
      </w:pPr>
      <w:r>
        <w:rPr>
          <w:rFonts w:ascii="Times New Roman" w:cs="Times New Roman" w:eastAsia="Times New Roman" w:hAnsi="Times New Roman"/>
          <w:sz w:val="14"/>
          <w:szCs w:val="14"/>
          <w:color w:val="auto"/>
        </w:rPr>
        <w:t>From and including March 15, 2031, to but excluding the maturity date or earlier redemption date (the “Floating Interest Period”), the New Notes will bear interest at an annual floating rate, reset quarterly, equal to the Benchmark rate (which is expected to be Three-Month Term SOFR), plus 233 basis points, provided however, that in the event the Three-Month Term SOFR is less than zero, Three-Month Term SOFR shall be deemed to be zero. A “Floating Interest Period” means each three-month period of each year, beginning March 15, 2031.</w:t>
      </w:r>
    </w:p>
    <w:p>
      <w:pPr>
        <w:spacing w:after="0" w:line="91" w:lineRule="exact"/>
        <w:rPr>
          <w:sz w:val="20"/>
          <w:szCs w:val="20"/>
          <w:color w:val="auto"/>
        </w:rPr>
      </w:pPr>
    </w:p>
    <w:p>
      <w:pPr>
        <w:jc w:val="both"/>
        <w:ind w:left="1380" w:right="1519" w:firstLine="275"/>
        <w:spacing w:after="0" w:line="242" w:lineRule="auto"/>
        <w:rPr>
          <w:sz w:val="20"/>
          <w:szCs w:val="20"/>
          <w:color w:val="auto"/>
        </w:rPr>
      </w:pPr>
      <w:r>
        <w:rPr>
          <w:rFonts w:ascii="Times New Roman" w:cs="Times New Roman" w:eastAsia="Times New Roman" w:hAnsi="Times New Roman"/>
          <w:sz w:val="14"/>
          <w:szCs w:val="14"/>
          <w:color w:val="auto"/>
        </w:rPr>
        <w:t>During the Floating Interest Period, interest on the New Notes will be payable quarterly in arrears on March 15, June 15, September 15 and December 15 of each year (each a “Floating Interest Payment Date” and, together with any Fixed Interest Payment Date, an “Interest Payment Date”), commencing on</w:t>
      </w:r>
    </w:p>
    <w:p>
      <w:pPr>
        <w:spacing w:after="0" w:line="1" w:lineRule="exact"/>
        <w:rPr>
          <w:sz w:val="20"/>
          <w:szCs w:val="20"/>
          <w:color w:val="auto"/>
        </w:rPr>
      </w:pPr>
    </w:p>
    <w:p>
      <w:pPr>
        <w:ind w:left="1380" w:right="1419"/>
        <w:spacing w:after="0" w:line="237" w:lineRule="auto"/>
        <w:rPr>
          <w:sz w:val="20"/>
          <w:szCs w:val="20"/>
          <w:color w:val="auto"/>
        </w:rPr>
      </w:pPr>
      <w:r>
        <w:rPr>
          <w:rFonts w:ascii="Times New Roman" w:cs="Times New Roman" w:eastAsia="Times New Roman" w:hAnsi="Times New Roman"/>
          <w:sz w:val="14"/>
          <w:szCs w:val="14"/>
          <w:color w:val="auto"/>
        </w:rPr>
        <w:t>March 15, 2031, and interest will be computed on the basis of a 360-day year and the actual number of days elapsed and payable quarterly in arrears on each Floating Interest Payment Date.</w:t>
      </w:r>
    </w:p>
    <w:p>
      <w:pPr>
        <w:spacing w:after="0" w:line="91" w:lineRule="exact"/>
        <w:rPr>
          <w:sz w:val="20"/>
          <w:szCs w:val="20"/>
          <w:color w:val="auto"/>
        </w:rPr>
      </w:pPr>
    </w:p>
    <w:p>
      <w:pPr>
        <w:ind w:left="1380" w:right="1379" w:firstLine="275"/>
        <w:spacing w:after="0" w:line="241" w:lineRule="auto"/>
        <w:rPr>
          <w:sz w:val="20"/>
          <w:szCs w:val="20"/>
          <w:color w:val="auto"/>
        </w:rPr>
      </w:pPr>
      <w:r>
        <w:rPr>
          <w:rFonts w:ascii="Times New Roman" w:cs="Times New Roman" w:eastAsia="Times New Roman" w:hAnsi="Times New Roman"/>
          <w:sz w:val="14"/>
          <w:szCs w:val="14"/>
          <w:color w:val="auto"/>
        </w:rPr>
        <w:t>For the purpose of calculating the interest on the New Notes for each interest period during the Floating Interest Period when the Benchmark is Three-Month Term SOFR, “Three-Month Term SOFR” means the rate for Term SOFR for a tenor of three months that is published by the Term SOFR Administrator at the Reference Time for any Floating Interest Period, as determined by the calculation agent after giving effect to the Three- Month Term SOFR Conventions; provided, however, that in the event Three-Month Term SOFR is less than zero, Three-Month Term SOFR shall be deemed to be zero. See “— Calculation Agent.”</w:t>
      </w:r>
    </w:p>
    <w:p>
      <w:pPr>
        <w:spacing w:after="0" w:line="9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The following definitions apply to the following discussion of Three-Month Term SOFR:</w:t>
      </w:r>
    </w:p>
    <w:p>
      <w:pPr>
        <w:spacing w:after="0" w:line="107" w:lineRule="exact"/>
        <w:rPr>
          <w:sz w:val="20"/>
          <w:szCs w:val="20"/>
          <w:color w:val="auto"/>
        </w:rPr>
      </w:pPr>
    </w:p>
    <w:p>
      <w:pPr>
        <w:ind w:left="1380" w:right="1419" w:firstLine="275"/>
        <w:spacing w:after="0" w:line="244" w:lineRule="auto"/>
        <w:rPr>
          <w:sz w:val="20"/>
          <w:szCs w:val="20"/>
          <w:color w:val="auto"/>
        </w:rPr>
      </w:pPr>
      <w:r>
        <w:rPr>
          <w:rFonts w:ascii="Times New Roman" w:cs="Times New Roman" w:eastAsia="Times New Roman" w:hAnsi="Times New Roman"/>
          <w:sz w:val="14"/>
          <w:szCs w:val="14"/>
          <w:color w:val="auto"/>
        </w:rPr>
        <w:t>“Benchmark” means, initially, Three-Month Term SOFR; provided that, if the calculation agent determines on or prior to the Reference Time for any Floating Interest Period that a Benchmark Transition Event and its related Benchmark Replacement Date have occurred with respect to Three-Month Term SOFR or the then-current Benchmark, then “Benchmark” means the applicable Benchmark Replacement for such Floating Interest Period and any subsequent Floating Interest Periods.</w:t>
      </w:r>
    </w:p>
    <w:p>
      <w:pPr>
        <w:spacing w:after="0" w:line="88" w:lineRule="exact"/>
        <w:rPr>
          <w:sz w:val="20"/>
          <w:szCs w:val="20"/>
          <w:color w:val="auto"/>
        </w:rPr>
      </w:pPr>
    </w:p>
    <w:p>
      <w:pPr>
        <w:ind w:left="1380" w:right="1419" w:firstLine="275"/>
        <w:spacing w:after="0" w:line="244" w:lineRule="auto"/>
        <w:rPr>
          <w:sz w:val="20"/>
          <w:szCs w:val="20"/>
          <w:color w:val="auto"/>
        </w:rPr>
      </w:pPr>
      <w:r>
        <w:rPr>
          <w:rFonts w:ascii="Times New Roman" w:cs="Times New Roman" w:eastAsia="Times New Roman" w:hAnsi="Times New Roman"/>
          <w:sz w:val="14"/>
          <w:szCs w:val="14"/>
          <w:color w:val="auto"/>
        </w:rPr>
        <w:t>“FRBNY’s Website” means the website of the FRBNY at http://www.newyorkfed.org, or any successor source. The foregoing Internet website is an inactive textual reference only, meaning that the information contained on the website is not part of this prospectus or any prospectus supplement or incorporated by reference herein or therein.</w:t>
      </w:r>
    </w:p>
    <w:p>
      <w:pPr>
        <w:spacing w:after="0" w:line="87" w:lineRule="exact"/>
        <w:rPr>
          <w:sz w:val="20"/>
          <w:szCs w:val="20"/>
          <w:color w:val="auto"/>
        </w:rPr>
      </w:pPr>
    </w:p>
    <w:p>
      <w:pPr>
        <w:ind w:left="1380" w:right="1519" w:firstLine="275"/>
        <w:spacing w:after="0" w:line="243" w:lineRule="auto"/>
        <w:rPr>
          <w:sz w:val="20"/>
          <w:szCs w:val="20"/>
          <w:color w:val="auto"/>
        </w:rPr>
      </w:pPr>
      <w:r>
        <w:rPr>
          <w:rFonts w:ascii="Times New Roman" w:cs="Times New Roman" w:eastAsia="Times New Roman" w:hAnsi="Times New Roman"/>
          <w:sz w:val="14"/>
          <w:szCs w:val="14"/>
          <w:color w:val="auto"/>
        </w:rPr>
        <w:t>“Interest Period” means (i) during the Fixed Rate Period, each six-month period beginning on a Fixed Interest Payment Date or (ii) during the Floating Interest Period, each three-month period beginning on a Floating Interest Payment Date.</w:t>
      </w:r>
    </w:p>
    <w:p>
      <w:pPr>
        <w:spacing w:after="0" w:line="88" w:lineRule="exact"/>
        <w:rPr>
          <w:sz w:val="20"/>
          <w:szCs w:val="20"/>
          <w:color w:val="auto"/>
        </w:rPr>
      </w:pPr>
    </w:p>
    <w:p>
      <w:pPr>
        <w:ind w:left="1380" w:right="1619" w:firstLine="275"/>
        <w:spacing w:after="0" w:line="244" w:lineRule="auto"/>
        <w:rPr>
          <w:sz w:val="20"/>
          <w:szCs w:val="20"/>
          <w:color w:val="auto"/>
        </w:rPr>
      </w:pPr>
      <w:r>
        <w:rPr>
          <w:rFonts w:ascii="Times New Roman" w:cs="Times New Roman" w:eastAsia="Times New Roman" w:hAnsi="Times New Roman"/>
          <w:sz w:val="14"/>
          <w:szCs w:val="14"/>
          <w:color w:val="auto"/>
        </w:rPr>
        <w:t>“Reference Time” with respect to any determination of a Benchmark means: (i) if the Benchmark is Three- Month Term SOFR, the time determined by the calculation agent after giving effect to the Three-Month Term SOFR Conventions, and (ii) if the Benchmark is not Three-Month Term SOFR, the time determined by the calculation agent after giving effect to the Benchmark Replacement Conforming Changes.</w:t>
      </w:r>
    </w:p>
    <w:p>
      <w:pPr>
        <w:spacing w:after="0" w:line="88" w:lineRule="exact"/>
        <w:rPr>
          <w:sz w:val="20"/>
          <w:szCs w:val="20"/>
          <w:color w:val="auto"/>
        </w:rPr>
      </w:pPr>
    </w:p>
    <w:p>
      <w:pPr>
        <w:ind w:left="1380" w:right="1399" w:firstLine="275"/>
        <w:spacing w:after="0" w:line="243" w:lineRule="auto"/>
        <w:rPr>
          <w:sz w:val="20"/>
          <w:szCs w:val="20"/>
          <w:color w:val="auto"/>
        </w:rPr>
      </w:pPr>
      <w:r>
        <w:rPr>
          <w:rFonts w:ascii="Times New Roman" w:cs="Times New Roman" w:eastAsia="Times New Roman" w:hAnsi="Times New Roman"/>
          <w:sz w:val="14"/>
          <w:szCs w:val="14"/>
          <w:color w:val="auto"/>
        </w:rPr>
        <w:t>“Relevant Governmental Body” means the Board of Governors of the Federal Reserve System (the “Federal Reserve Board”) and/or the FRBNY, or a committee officially endorsed or convened by the Federal Reserve and/or the FRBNY or any successor thereto.</w:t>
      </w:r>
    </w:p>
    <w:p>
      <w:pPr>
        <w:spacing w:after="0" w:line="88" w:lineRule="exact"/>
        <w:rPr>
          <w:sz w:val="20"/>
          <w:szCs w:val="20"/>
          <w:color w:val="auto"/>
        </w:rPr>
      </w:pPr>
    </w:p>
    <w:p>
      <w:pPr>
        <w:ind w:left="1380" w:right="2079" w:firstLine="275"/>
        <w:spacing w:after="0" w:line="271" w:lineRule="auto"/>
        <w:rPr>
          <w:sz w:val="20"/>
          <w:szCs w:val="20"/>
          <w:color w:val="auto"/>
        </w:rPr>
      </w:pPr>
      <w:r>
        <w:rPr>
          <w:rFonts w:ascii="Times New Roman" w:cs="Times New Roman" w:eastAsia="Times New Roman" w:hAnsi="Times New Roman"/>
          <w:sz w:val="14"/>
          <w:szCs w:val="14"/>
          <w:color w:val="auto"/>
        </w:rPr>
        <w:t>“SOFR” means the daily Secured Overnight Financing Rate provided by the FRBNY, as the administrator of the benchmark (or a successor administrator), on the FRBNY’s Website.</w:t>
      </w:r>
    </w:p>
    <w:p>
      <w:pPr>
        <w:spacing w:after="0" w:line="69" w:lineRule="exact"/>
        <w:rPr>
          <w:sz w:val="20"/>
          <w:szCs w:val="20"/>
          <w:color w:val="auto"/>
        </w:rPr>
      </w:pPr>
    </w:p>
    <w:p>
      <w:pPr>
        <w:ind w:left="1380" w:right="1639" w:firstLine="275"/>
        <w:spacing w:after="0" w:line="256" w:lineRule="auto"/>
        <w:rPr>
          <w:sz w:val="20"/>
          <w:szCs w:val="20"/>
          <w:color w:val="auto"/>
        </w:rPr>
      </w:pPr>
      <w:r>
        <w:rPr>
          <w:rFonts w:ascii="Times New Roman" w:cs="Times New Roman" w:eastAsia="Times New Roman" w:hAnsi="Times New Roman"/>
          <w:sz w:val="14"/>
          <w:szCs w:val="14"/>
          <w:color w:val="auto"/>
        </w:rPr>
        <w:t>“Term SOFR” means the forward-looking term rate for the Corresponding Tenor based on SOFR as published by the Term SOFR Administrator.</w:t>
      </w:r>
    </w:p>
    <w:p>
      <w:pPr>
        <w:spacing w:after="0" w:line="79" w:lineRule="exact"/>
        <w:rPr>
          <w:sz w:val="20"/>
          <w:szCs w:val="20"/>
          <w:color w:val="auto"/>
        </w:rPr>
      </w:pPr>
    </w:p>
    <w:p>
      <w:pPr>
        <w:ind w:left="1380" w:right="1539" w:firstLine="275"/>
        <w:spacing w:after="0" w:line="256" w:lineRule="auto"/>
        <w:rPr>
          <w:sz w:val="20"/>
          <w:szCs w:val="20"/>
          <w:color w:val="auto"/>
        </w:rPr>
      </w:pPr>
      <w:r>
        <w:rPr>
          <w:rFonts w:ascii="Times New Roman" w:cs="Times New Roman" w:eastAsia="Times New Roman" w:hAnsi="Times New Roman"/>
          <w:sz w:val="14"/>
          <w:szCs w:val="14"/>
          <w:color w:val="auto"/>
        </w:rPr>
        <w:t>“Term SOFR Administrator” means any entity designated by the Relevant Governmental Body as the administrator of Term SOFR (or a successor administrator).</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5" w:name="page36"/>
    <w:bookmarkEnd w:id="35"/>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399" w:firstLine="275"/>
        <w:spacing w:after="0"/>
        <w:rPr>
          <w:sz w:val="20"/>
          <w:szCs w:val="20"/>
          <w:color w:val="auto"/>
        </w:rPr>
      </w:pPr>
      <w:r>
        <w:rPr>
          <w:rFonts w:ascii="Times New Roman" w:cs="Times New Roman" w:eastAsia="Times New Roman" w:hAnsi="Times New Roman"/>
          <w:sz w:val="14"/>
          <w:szCs w:val="14"/>
          <w:color w:val="auto"/>
        </w:rPr>
        <w:t>“Three-Month Term SOFR Conventions” means any determination, decision or election with respect to any technical, administrative or operational matter (including with respect to the manner and timing of the publication of Three-Month Term SOFR, or changes to the definition of “Floating Interest Period”, timing and frequency of determining Three-Month Term SOFR with respect to each Floating Interest Period and making payments of interest, rounding of amounts or tenors, and other administrative matters) that the calculation agent or the Company decides may be appropriate to reflect the use of Three-Month Term SOFR as the Benchmark in a manner substantially consistent with market practice (or, if the calculation agent or the Company decides that adoption of any portion of such market practice is not administratively feasible or if the calculation agent or the Company determines that no market practice for the use of Three-Month Term SOFR exists, in such other manner as the calculation agent or the Company determines is reasonably necessary).</w:t>
      </w:r>
    </w:p>
    <w:p>
      <w:pPr>
        <w:spacing w:after="0" w:line="245" w:lineRule="exact"/>
        <w:rPr>
          <w:sz w:val="20"/>
          <w:szCs w:val="20"/>
          <w:color w:val="auto"/>
        </w:rPr>
      </w:pPr>
    </w:p>
    <w:p>
      <w:pPr>
        <w:jc w:val="both"/>
        <w:ind w:left="1380" w:right="1419" w:firstLine="275"/>
        <w:spacing w:after="0" w:line="243" w:lineRule="auto"/>
        <w:rPr>
          <w:sz w:val="20"/>
          <w:szCs w:val="20"/>
          <w:color w:val="auto"/>
        </w:rPr>
      </w:pPr>
      <w:r>
        <w:rPr>
          <w:rFonts w:ascii="Times New Roman" w:cs="Times New Roman" w:eastAsia="Times New Roman" w:hAnsi="Times New Roman"/>
          <w:sz w:val="14"/>
          <w:szCs w:val="14"/>
          <w:color w:val="auto"/>
        </w:rPr>
        <w:t>The terms “Benchmark Replacement,” “Benchmark Replacement Conforming Changes,” “Benchmark Replacement Date,” “Benchmark Transition Event” and “Corresponding Tenor” have the meanings set forth below under the heading “— Effect of Benchmark Transition Event.”</w:t>
      </w:r>
    </w:p>
    <w:p>
      <w:pPr>
        <w:spacing w:after="0" w:line="88" w:lineRule="exact"/>
        <w:rPr>
          <w:sz w:val="20"/>
          <w:szCs w:val="20"/>
          <w:color w:val="auto"/>
        </w:rPr>
      </w:pPr>
    </w:p>
    <w:p>
      <w:pPr>
        <w:ind w:left="1380" w:right="1399" w:firstLine="275"/>
        <w:spacing w:after="0" w:line="239" w:lineRule="auto"/>
        <w:rPr>
          <w:sz w:val="20"/>
          <w:szCs w:val="20"/>
          <w:color w:val="auto"/>
        </w:rPr>
      </w:pPr>
      <w:r>
        <w:rPr>
          <w:rFonts w:ascii="Times New Roman" w:cs="Times New Roman" w:eastAsia="Times New Roman" w:hAnsi="Times New Roman"/>
          <w:sz w:val="14"/>
          <w:szCs w:val="14"/>
          <w:color w:val="auto"/>
        </w:rPr>
        <w:t>Notwithstanding the foregoing paragraphs related to the determination of interest, if the calculation agent determines prior to the relevant Floating Interest Determination Date that a Benchmark Transition Event and its related Benchmark Replacement Date (each as defined below) have occurred with respect to Three-Month Term SOFR, then the Company shall promptly provide notice of such determination to the holders and the provisions set forth below under the heading “— Effect of Benchmark Transition Event,” which we refer to as the “benchmark transition provisions,” will thereafter apply to all determinations, calculations and quotations made or obtained for the purposes of calculating the Floating Interest Rate payable on the New Notes during a relevant Floating Interest Period. In accordance with the benchmark transition provisions, after a Benchmark Transition Event and its related Benchmark Replacement Date have occurred, the interest rate on the New Notes for each interest period during the Floating Interest Period will be an annual rate equal to the sum of the applicable Benchmark Replacement plus 233 basis points.</w:t>
      </w:r>
    </w:p>
    <w:p>
      <w:pPr>
        <w:spacing w:after="0" w:line="81" w:lineRule="exact"/>
        <w:rPr>
          <w:sz w:val="20"/>
          <w:szCs w:val="20"/>
          <w:color w:val="auto"/>
        </w:rPr>
      </w:pPr>
    </w:p>
    <w:p>
      <w:pPr>
        <w:ind w:left="1380" w:right="1379" w:firstLine="275"/>
        <w:spacing w:after="0" w:line="244" w:lineRule="auto"/>
        <w:rPr>
          <w:sz w:val="20"/>
          <w:szCs w:val="20"/>
          <w:color w:val="auto"/>
        </w:rPr>
      </w:pPr>
      <w:r>
        <w:rPr>
          <w:rFonts w:ascii="Times New Roman" w:cs="Times New Roman" w:eastAsia="Times New Roman" w:hAnsi="Times New Roman"/>
          <w:sz w:val="14"/>
          <w:szCs w:val="14"/>
          <w:color w:val="auto"/>
        </w:rPr>
        <w:t>Absent manifest error, the calculation agent’s determination of the interest rate for an interest period for the New Notes will be conclusive and binding on you, the trustee and us. The calculation agent’s determination of any interest rate, and its calculation of interest payments for any period, will be maintained on file at the calculation agent’s principal offices, will be made available to any holder of the New Notes upon request and will be provided to the trustee.</w:t>
      </w:r>
    </w:p>
    <w:p>
      <w:pPr>
        <w:spacing w:after="0" w:line="88" w:lineRule="exact"/>
        <w:rPr>
          <w:sz w:val="20"/>
          <w:szCs w:val="20"/>
          <w:color w:val="auto"/>
        </w:rPr>
      </w:pPr>
    </w:p>
    <w:p>
      <w:pPr>
        <w:ind w:left="1380" w:right="1399" w:firstLine="275"/>
        <w:spacing w:after="0" w:line="238" w:lineRule="auto"/>
        <w:rPr>
          <w:sz w:val="20"/>
          <w:szCs w:val="20"/>
          <w:color w:val="auto"/>
        </w:rPr>
      </w:pPr>
      <w:r>
        <w:rPr>
          <w:rFonts w:ascii="Times New Roman" w:cs="Times New Roman" w:eastAsia="Times New Roman" w:hAnsi="Times New Roman"/>
          <w:sz w:val="14"/>
          <w:szCs w:val="14"/>
          <w:color w:val="auto"/>
        </w:rPr>
        <w:t>In the event that any Fixed Interest Payment Date during the Fixed Rate Period falls on a day that is not a business day, the interest payment due on that date shall be postponed to the next succeeding day that is a business day and no additional interest shall accrue as a result of that postponement. In the event that any Floating Interest Payment Date during the Floating Interest Period falls on a day that is not a business day, the interest payment due on that date shall be postponed to the next succeeding day that is a business day and interest shall accrue to but excluding the date interest is paid. However, if the postponement would cause the day to fall in the next calendar month during the Floating Interest Period, the Floating Interest Payment Date shall instead be brought forward to the immediately preceding business day.</w:t>
      </w:r>
    </w:p>
    <w:p>
      <w:pPr>
        <w:spacing w:after="0" w:line="93" w:lineRule="exact"/>
        <w:rPr>
          <w:sz w:val="20"/>
          <w:szCs w:val="20"/>
          <w:color w:val="auto"/>
        </w:rPr>
      </w:pPr>
    </w:p>
    <w:p>
      <w:pPr>
        <w:ind w:left="1380" w:right="1419" w:firstLine="275"/>
        <w:spacing w:after="0" w:line="239" w:lineRule="auto"/>
        <w:rPr>
          <w:sz w:val="20"/>
          <w:szCs w:val="20"/>
          <w:color w:val="auto"/>
        </w:rPr>
      </w:pPr>
      <w:r>
        <w:rPr>
          <w:rFonts w:ascii="Times New Roman" w:cs="Times New Roman" w:eastAsia="Times New Roman" w:hAnsi="Times New Roman"/>
          <w:sz w:val="14"/>
          <w:szCs w:val="14"/>
          <w:color w:val="auto"/>
        </w:rPr>
        <w:t>If the then -current Benchmark is Three-Month Term SOFR and any of the foregoing provisions concerning the calculation of the interest rate and the payment of interest during the Floating Interest Period are inconsistent with any of the Three- Month Term SOFR Conventions determined by the Company, then the relevant Three-Month Term SOFR Conventions will apply. Furthermore, if the calculation agent determines that a Benchmark Transition Event and its related Benchmark Replacement Date have occurred with respect to Three-Month Term SOFR at any time when any of the New Notes are outstanding, then the Company shall promptly provide notice of such determination to the holders and the foregoing provisions concerning the calculation of the interest rate and interest payments during the Floating Interest Period will be modified in accordance with the benchmark transition provisions.</w:t>
      </w:r>
    </w:p>
    <w:p>
      <w:pPr>
        <w:spacing w:after="0" w:line="92" w:lineRule="exact"/>
        <w:rPr>
          <w:sz w:val="20"/>
          <w:szCs w:val="20"/>
          <w:color w:val="auto"/>
        </w:rPr>
      </w:pPr>
    </w:p>
    <w:p>
      <w:pPr>
        <w:ind w:left="1380" w:right="1439" w:firstLine="275"/>
        <w:spacing w:after="0"/>
        <w:rPr>
          <w:sz w:val="20"/>
          <w:szCs w:val="20"/>
          <w:color w:val="auto"/>
        </w:rPr>
      </w:pPr>
      <w:r>
        <w:rPr>
          <w:rFonts w:ascii="Times New Roman" w:cs="Times New Roman" w:eastAsia="Times New Roman" w:hAnsi="Times New Roman"/>
          <w:sz w:val="14"/>
          <w:szCs w:val="14"/>
          <w:color w:val="auto"/>
        </w:rPr>
        <w:t>We will make each interest payment to the holders of record of the notes at the close of business on the fifteenth calendar day prior to the applicable interest payment date. Principal of and interest on the notes will be payable, and the notes will be exchangeable and transferable, at the office or agency that we have designated and maintain for such purposes, which, initially, will be the corporate trust office of the trustee located at UMB Bank, N.A., 5555 San Felipe, Suite 870, Houston, Texas 77056, Attention: Global</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6" w:name="page37"/>
    <w:bookmarkEnd w:id="36"/>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380" w:right="1499"/>
        <w:spacing w:after="0" w:line="258" w:lineRule="auto"/>
        <w:rPr>
          <w:sz w:val="20"/>
          <w:szCs w:val="20"/>
          <w:color w:val="auto"/>
        </w:rPr>
      </w:pPr>
      <w:r>
        <w:rPr>
          <w:rFonts w:ascii="Times New Roman" w:cs="Times New Roman" w:eastAsia="Times New Roman" w:hAnsi="Times New Roman"/>
          <w:sz w:val="14"/>
          <w:szCs w:val="14"/>
          <w:color w:val="auto"/>
        </w:rPr>
        <w:t>Corporate Trust Services; except that payment of interest may be made at our option by check mailed or to the person entitled thereto as shown on the security register or by wire transfer to an account appropriately designated by the person entitled thereto.</w:t>
      </w:r>
    </w:p>
    <w:p>
      <w:pPr>
        <w:spacing w:after="0" w:line="89" w:lineRule="exact"/>
        <w:rPr>
          <w:sz w:val="20"/>
          <w:szCs w:val="20"/>
          <w:color w:val="auto"/>
        </w:rPr>
      </w:pPr>
    </w:p>
    <w:p>
      <w:pPr>
        <w:ind w:left="1380" w:right="1519" w:firstLine="275"/>
        <w:spacing w:after="0" w:line="258" w:lineRule="auto"/>
        <w:rPr>
          <w:sz w:val="20"/>
          <w:szCs w:val="20"/>
          <w:color w:val="auto"/>
        </w:rPr>
      </w:pPr>
      <w:r>
        <w:rPr>
          <w:rFonts w:ascii="Times New Roman" w:cs="Times New Roman" w:eastAsia="Times New Roman" w:hAnsi="Times New Roman"/>
          <w:sz w:val="14"/>
          <w:szCs w:val="14"/>
          <w:color w:val="auto"/>
        </w:rPr>
        <w:t>The term “business day” means any day other than a Saturday, Sunday or other day on which banking institutions in the State of Illinois or the Borough of Manhattan, New York, New York are authorized or obligated by law, regulation or executive order to close.</w:t>
      </w:r>
    </w:p>
    <w:p>
      <w:pPr>
        <w:spacing w:after="0" w:line="13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Subordination</w:t>
      </w:r>
    </w:p>
    <w:p>
      <w:pPr>
        <w:spacing w:after="0" w:line="12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Our obligation to make any payment on account of the principal of, or interest on, the notes will be</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subordinate and junior in right of payment to the prior payment in full of all of our senior indebtedness. As</w:t>
      </w:r>
    </w:p>
    <w:p>
      <w:pPr>
        <w:spacing w:after="0" w:line="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of March 31, 2026, the Company and its consolidated subsidiaries had outstanding debt and deposits of</w:t>
      </w:r>
    </w:p>
    <w:p>
      <w:pPr>
        <w:spacing w:after="0" w:line="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$6.0 billion, and $12.3 million of third-party borrowings that would rank senior to the notes. The notes and</w:t>
      </w:r>
    </w:p>
    <w:p>
      <w:pPr>
        <w:spacing w:after="0" w:line="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 indenture do not contain any limitation on the amount of senior indebtedness that we may incur in the</w:t>
      </w:r>
    </w:p>
    <w:p>
      <w:pPr>
        <w:spacing w:after="0" w:line="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future.</w:t>
      </w:r>
    </w:p>
    <w:p>
      <w:pPr>
        <w:spacing w:after="0" w:line="93" w:lineRule="exact"/>
        <w:rPr>
          <w:sz w:val="20"/>
          <w:szCs w:val="20"/>
          <w:color w:val="auto"/>
        </w:rPr>
      </w:pPr>
    </w:p>
    <w:p>
      <w:pPr>
        <w:ind w:left="1380" w:right="1459" w:firstLine="275"/>
        <w:spacing w:after="0" w:line="254" w:lineRule="auto"/>
        <w:rPr>
          <w:sz w:val="20"/>
          <w:szCs w:val="20"/>
          <w:color w:val="auto"/>
        </w:rPr>
      </w:pPr>
      <w:r>
        <w:rPr>
          <w:rFonts w:ascii="Times New Roman" w:cs="Times New Roman" w:eastAsia="Times New Roman" w:hAnsi="Times New Roman"/>
          <w:sz w:val="14"/>
          <w:szCs w:val="14"/>
          <w:color w:val="auto"/>
        </w:rPr>
        <w:t>The term “senior indebtedness” means the principal of, and premium, if any, and interest, including interest accruing after the commencement of any bankruptcy proceeding relating to us, on, or substantially similar payments we make in respect of the following categories of debt, whether that debt was outstanding on the date of execution of the indenture or thereafter incurred, created or assumed:</w:t>
      </w:r>
    </w:p>
    <w:p>
      <w:pPr>
        <w:spacing w:after="0" w:line="60" w:lineRule="exact"/>
        <w:rPr>
          <w:sz w:val="20"/>
          <w:szCs w:val="20"/>
          <w:color w:val="auto"/>
        </w:rPr>
      </w:pPr>
    </w:p>
    <w:p>
      <w:pPr>
        <w:ind w:left="1780" w:right="1639" w:hanging="134"/>
        <w:spacing w:after="0" w:line="252" w:lineRule="auto"/>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for borrowed money, whether or not evidenced by notes, debentures, bonds, securities or other similar instruments issued under the provisions of any indenture, fiscal agency agreement, debenture or note purchase agreement or other agreement, including any senior debt securities that we may offer, and including, but not limited to, deposits of the Bank and our obligations to our general and secured creditors;</w:t>
      </w:r>
    </w:p>
    <w:p>
      <w:pPr>
        <w:spacing w:after="0" w:line="71" w:lineRule="exact"/>
        <w:rPr>
          <w:rFonts w:ascii="Times New Roman" w:cs="Times New Roman" w:eastAsia="Times New Roman" w:hAnsi="Times New Roman"/>
          <w:sz w:val="14"/>
          <w:szCs w:val="14"/>
          <w:color w:val="auto"/>
        </w:rPr>
      </w:pPr>
    </w:p>
    <w:p>
      <w:pPr>
        <w:ind w:left="1780" w:right="1699" w:hanging="134"/>
        <w:spacing w:after="0" w:line="271" w:lineRule="auto"/>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for money borrowed or represented by purchase money obligations, as defined below;</w:t>
      </w:r>
    </w:p>
    <w:p>
      <w:pPr>
        <w:spacing w:after="0" w:line="48" w:lineRule="exact"/>
        <w:rPr>
          <w:rFonts w:ascii="Times New Roman" w:cs="Times New Roman" w:eastAsia="Times New Roman" w:hAnsi="Times New Roman"/>
          <w:sz w:val="14"/>
          <w:szCs w:val="14"/>
          <w:color w:val="auto"/>
        </w:rPr>
      </w:pPr>
    </w:p>
    <w:p>
      <w:pPr>
        <w:ind w:left="1780" w:right="1779" w:hanging="134"/>
        <w:spacing w:after="0" w:line="271" w:lineRule="auto"/>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obligations as lessee under leases of property whether made as part of a sale and leaseback transaction to which we are a party or otherwise;</w:t>
      </w:r>
    </w:p>
    <w:p>
      <w:pPr>
        <w:spacing w:after="0" w:line="48" w:lineRule="exact"/>
        <w:rPr>
          <w:rFonts w:ascii="Times New Roman" w:cs="Times New Roman" w:eastAsia="Times New Roman" w:hAnsi="Times New Roman"/>
          <w:sz w:val="14"/>
          <w:szCs w:val="14"/>
          <w:color w:val="auto"/>
        </w:rPr>
      </w:pPr>
    </w:p>
    <w:p>
      <w:pPr>
        <w:ind w:left="1780" w:right="1819" w:hanging="134"/>
        <w:spacing w:after="0" w:line="271" w:lineRule="auto"/>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reimbursement and other obligations relating to letters of credit, bankers’ acceptances and similar obligations and direct credit substitutes;</w:t>
      </w:r>
    </w:p>
    <w:p>
      <w:pPr>
        <w:spacing w:after="0" w:line="48" w:lineRule="exact"/>
        <w:rPr>
          <w:rFonts w:ascii="Times New Roman" w:cs="Times New Roman" w:eastAsia="Times New Roman" w:hAnsi="Times New Roman"/>
          <w:sz w:val="14"/>
          <w:szCs w:val="14"/>
          <w:color w:val="auto"/>
        </w:rPr>
      </w:pPr>
    </w:p>
    <w:p>
      <w:pPr>
        <w:ind w:left="1780" w:right="1419" w:hanging="134"/>
        <w:spacing w:after="0" w:line="258" w:lineRule="auto"/>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obligations in respect of interest rate swap, cap or other agreements, interest rate future or option contracts, currency swap agreements, currency future or option contracts, commodity contracts and other similar arrangements;</w:t>
      </w:r>
    </w:p>
    <w:p>
      <w:pPr>
        <w:spacing w:after="0" w:line="57" w:lineRule="exact"/>
        <w:rPr>
          <w:rFonts w:ascii="Times New Roman" w:cs="Times New Roman" w:eastAsia="Times New Roman" w:hAnsi="Times New Roman"/>
          <w:sz w:val="14"/>
          <w:szCs w:val="14"/>
          <w:color w:val="auto"/>
        </w:rPr>
      </w:pPr>
    </w:p>
    <w:p>
      <w:pPr>
        <w:jc w:val="both"/>
        <w:ind w:left="1780" w:right="1559" w:hanging="134"/>
        <w:spacing w:after="0" w:line="271" w:lineRule="auto"/>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obligations issued or assumed as the deferred purchase price of property or services, but excluding trade accounts payable and accrued liabilities arising in the ordinary course of business;</w:t>
      </w:r>
    </w:p>
    <w:p>
      <w:pPr>
        <w:spacing w:after="0" w:line="48"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obligation of ours to our general creditors;</w:t>
      </w:r>
    </w:p>
    <w:p>
      <w:pPr>
        <w:spacing w:after="0" w:line="86" w:lineRule="exact"/>
        <w:rPr>
          <w:rFonts w:ascii="Times New Roman" w:cs="Times New Roman" w:eastAsia="Times New Roman" w:hAnsi="Times New Roman"/>
          <w:sz w:val="14"/>
          <w:szCs w:val="14"/>
          <w:color w:val="auto"/>
        </w:rPr>
      </w:pPr>
    </w:p>
    <w:p>
      <w:pPr>
        <w:ind w:left="1780" w:right="1639" w:hanging="134"/>
        <w:spacing w:after="0" w:line="258" w:lineRule="auto"/>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of the type referred to in the bullets above of other persons for the payment as to which we are responsible or liable contingently or otherwise to pay or advance money as obligor, guarantor, endorser or otherwise;</w:t>
      </w:r>
    </w:p>
    <w:p>
      <w:pPr>
        <w:spacing w:after="0" w:line="57" w:lineRule="exact"/>
        <w:rPr>
          <w:rFonts w:ascii="Times New Roman" w:cs="Times New Roman" w:eastAsia="Times New Roman" w:hAnsi="Times New Roman"/>
          <w:sz w:val="14"/>
          <w:szCs w:val="14"/>
          <w:color w:val="auto"/>
        </w:rPr>
      </w:pPr>
    </w:p>
    <w:p>
      <w:pPr>
        <w:ind w:left="1780" w:right="1499" w:hanging="134"/>
        <w:spacing w:after="0" w:line="271" w:lineRule="auto"/>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of the types referred to in the bullets above of other persons secured by a lien on any property or asset of ours; and</w:t>
      </w:r>
    </w:p>
    <w:p>
      <w:pPr>
        <w:spacing w:after="0" w:line="48" w:lineRule="exact"/>
        <w:rPr>
          <w:rFonts w:ascii="Times New Roman" w:cs="Times New Roman" w:eastAsia="Times New Roman" w:hAnsi="Times New Roman"/>
          <w:sz w:val="14"/>
          <w:szCs w:val="14"/>
          <w:color w:val="auto"/>
        </w:rPr>
      </w:pPr>
    </w:p>
    <w:p>
      <w:pPr>
        <w:ind w:left="1780" w:right="1599" w:hanging="134"/>
        <w:spacing w:after="0" w:line="271" w:lineRule="auto"/>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deferrals, renewals or extensions of any of the indebtedness or obligations described in the bullets above.</w:t>
      </w:r>
    </w:p>
    <w:p>
      <w:pPr>
        <w:spacing w:after="0" w:line="8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However, “senior indebtedness” excludes:</w:t>
      </w:r>
    </w:p>
    <w:p>
      <w:pPr>
        <w:spacing w:after="0" w:line="86" w:lineRule="exact"/>
        <w:rPr>
          <w:sz w:val="20"/>
          <w:szCs w:val="20"/>
          <w:color w:val="auto"/>
        </w:rPr>
      </w:pPr>
    </w:p>
    <w:p>
      <w:pPr>
        <w:ind w:left="1780" w:right="1379" w:hanging="134"/>
        <w:spacing w:after="0" w:line="254" w:lineRule="auto"/>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subordinated debentures or junior subordinated debentures, of the Company underlying trust preferred securities issued by subsidiary trusts of the Company that were outstanding as of the date of the issuance of the Old Notes or that are issued after the date of such issuance by a subsidiary trust of the Company;</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7" w:name="page38"/>
    <w:bookmarkEnd w:id="37"/>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80" w:right="1399" w:hanging="134"/>
        <w:spacing w:after="0" w:line="258" w:lineRule="auto"/>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indebtedness, obligation or liability that is subordinated to indebtedness, obligations or liabilities of the Company to substantially the same extent as or to a greater extent than the notes are subordinated; and</w:t>
      </w:r>
    </w:p>
    <w:p>
      <w:pPr>
        <w:spacing w:after="0" w:line="57" w:lineRule="exact"/>
        <w:rPr>
          <w:rFonts w:ascii="Times New Roman" w:cs="Times New Roman" w:eastAsia="Times New Roman" w:hAnsi="Times New Roman"/>
          <w:sz w:val="14"/>
          <w:szCs w:val="14"/>
          <w:color w:val="auto"/>
        </w:rPr>
      </w:pPr>
    </w:p>
    <w:p>
      <w:pPr>
        <w:ind w:left="1780" w:right="1919" w:hanging="134"/>
        <w:spacing w:after="0" w:line="271" w:lineRule="auto"/>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notes and, unless expressly provided in the terms thereof, any of our indebtedness to our subsidiaries.</w:t>
      </w:r>
    </w:p>
    <w:p>
      <w:pPr>
        <w:spacing w:after="0" w:line="80" w:lineRule="exact"/>
        <w:rPr>
          <w:sz w:val="20"/>
          <w:szCs w:val="20"/>
          <w:color w:val="auto"/>
        </w:rPr>
      </w:pPr>
    </w:p>
    <w:p>
      <w:pPr>
        <w:ind w:left="1380" w:right="1419" w:firstLine="275"/>
        <w:spacing w:after="0" w:line="239" w:lineRule="auto"/>
        <w:rPr>
          <w:sz w:val="20"/>
          <w:szCs w:val="20"/>
          <w:color w:val="auto"/>
        </w:rPr>
      </w:pPr>
      <w:r>
        <w:rPr>
          <w:rFonts w:ascii="Times New Roman" w:cs="Times New Roman" w:eastAsia="Times New Roman" w:hAnsi="Times New Roman"/>
          <w:sz w:val="14"/>
          <w:szCs w:val="14"/>
          <w:color w:val="auto"/>
        </w:rPr>
        <w:t>As used above, the term “purchase money obligations” means indebtedness, obligations evidenced by a note, debenture, bond or other instrument, whether or not secured by a lien or other security interest, issued to evidence the obligation to pay or a guarantee of the payment of, and any deferred obligation for the payment of, the purchase price of property but excluding indebtedness or obligations for which recourse is limited to the property purchased, issued or assumed as all or a part of the consideration for the acquisition of property or services, whether by purchase, merger, consolidation or otherwise, but does not include any trade accounts payable as set forth above.</w:t>
      </w:r>
    </w:p>
    <w:p>
      <w:pPr>
        <w:spacing w:after="0" w:line="94" w:lineRule="exact"/>
        <w:rPr>
          <w:sz w:val="20"/>
          <w:szCs w:val="20"/>
          <w:color w:val="auto"/>
        </w:rPr>
      </w:pPr>
    </w:p>
    <w:p>
      <w:pPr>
        <w:jc w:val="both"/>
        <w:ind w:left="1380" w:right="1619" w:firstLine="275"/>
        <w:spacing w:after="0" w:line="258" w:lineRule="auto"/>
        <w:rPr>
          <w:sz w:val="20"/>
          <w:szCs w:val="20"/>
          <w:color w:val="auto"/>
        </w:rPr>
      </w:pPr>
      <w:r>
        <w:rPr>
          <w:rFonts w:ascii="Times New Roman" w:cs="Times New Roman" w:eastAsia="Times New Roman" w:hAnsi="Times New Roman"/>
          <w:sz w:val="14"/>
          <w:szCs w:val="14"/>
          <w:color w:val="auto"/>
        </w:rPr>
        <w:t>In accordance with the subordination provisions of the indenture and the notes, we are permitted to make payments of accrued and unpaid interest on the notes on the interest payment dates and at maturity and to pay the principal of the notes at maturity unless:</w:t>
      </w:r>
    </w:p>
    <w:p>
      <w:pPr>
        <w:spacing w:after="0" w:line="58" w:lineRule="exact"/>
        <w:rPr>
          <w:sz w:val="20"/>
          <w:szCs w:val="20"/>
          <w:color w:val="auto"/>
        </w:rPr>
      </w:pPr>
    </w:p>
    <w:p>
      <w:pPr>
        <w:ind w:left="1780" w:right="1419" w:hanging="134"/>
        <w:spacing w:after="0" w:line="258" w:lineRule="auto"/>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any termination, winding up, liquidation or reorganization, whether in bankruptcy, insolvency, reorganization, receivership or similar proceedings or upon an assignment for the benefit of our creditors or any other marshalling of our assets and liabilities; or</w:t>
      </w:r>
    </w:p>
    <w:p>
      <w:pPr>
        <w:spacing w:after="0" w:line="57" w:lineRule="exact"/>
        <w:rPr>
          <w:rFonts w:ascii="Times New Roman" w:cs="Times New Roman" w:eastAsia="Times New Roman" w:hAnsi="Times New Roman"/>
          <w:sz w:val="14"/>
          <w:szCs w:val="14"/>
          <w:color w:val="auto"/>
        </w:rPr>
      </w:pPr>
    </w:p>
    <w:p>
      <w:pPr>
        <w:ind w:left="1780" w:right="1399" w:hanging="134"/>
        <w:spacing w:after="0" w:line="250" w:lineRule="auto"/>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the payment of principal of, or premium, if any, or interest on, any senior indebtedness, has occurred and is continuing beyond any applicable grace period or an event of default has occurred and is continuing with respect to any senior indebtedness, or would occur as a result of a payment of principal of, or interest on, the notes being made and that event of default would permit the holders of any senior indebtedness to accelerate the maturity of that senior indebtedness and such default or event of default has not been cured, waived or otherwise have ceased to exist.</w:t>
      </w:r>
    </w:p>
    <w:p>
      <w:pPr>
        <w:spacing w:after="0" w:line="86" w:lineRule="exact"/>
        <w:rPr>
          <w:sz w:val="20"/>
          <w:szCs w:val="20"/>
          <w:color w:val="auto"/>
        </w:rPr>
      </w:pPr>
    </w:p>
    <w:p>
      <w:pPr>
        <w:ind w:left="1380" w:right="1399" w:firstLine="275"/>
        <w:spacing w:after="0" w:line="248" w:lineRule="auto"/>
        <w:rPr>
          <w:sz w:val="20"/>
          <w:szCs w:val="20"/>
          <w:color w:val="auto"/>
        </w:rPr>
      </w:pPr>
      <w:r>
        <w:rPr>
          <w:rFonts w:ascii="Times New Roman" w:cs="Times New Roman" w:eastAsia="Times New Roman" w:hAnsi="Times New Roman"/>
          <w:sz w:val="14"/>
          <w:szCs w:val="14"/>
          <w:color w:val="auto"/>
        </w:rPr>
        <w:t>Upon our termination, winding up, liquidation or reorganization, whether in bankruptcy, insolvency, reorganization, receivership or similar proceedings or upon an assignment for the benefit of our creditors or any other marshalling of our assets and liabilities or otherwise, we must pay to the holders of all of our senior indebtedness the full amounts of principal of, and premium, if any, and interest on, that senior indebtedness before any payment is made on the notes. If, after we have paid the senior indebtedness in full, there are any amounts available for payment of the notes and any of our other indebtedness and obligations ranking equally in right of payment with the notes, then we will use such remaining assets to pay the amounts of principal of, premium, if any, and accrued and unpaid interest on, the notes and such other of our indebtedness and obligations that rank equally in right of payment with the notes. If those assets are insufficient to pay in full the principal of, premium, if any, and interest on the notes and such other indebtedness and obligations, those assets will be applicable ratably to the payment of such amounts owing with respect to the notes and such other indebtedness and obligations.</w:t>
      </w:r>
    </w:p>
    <w:p>
      <w:pPr>
        <w:spacing w:after="0" w:line="96" w:lineRule="exact"/>
        <w:rPr>
          <w:sz w:val="20"/>
          <w:szCs w:val="20"/>
          <w:color w:val="auto"/>
        </w:rPr>
      </w:pPr>
    </w:p>
    <w:p>
      <w:pPr>
        <w:ind w:left="1380" w:right="1419" w:firstLine="275"/>
        <w:spacing w:after="0" w:line="249" w:lineRule="auto"/>
        <w:rPr>
          <w:sz w:val="20"/>
          <w:szCs w:val="20"/>
          <w:color w:val="auto"/>
        </w:rPr>
      </w:pPr>
      <w:r>
        <w:rPr>
          <w:rFonts w:ascii="Times New Roman" w:cs="Times New Roman" w:eastAsia="Times New Roman" w:hAnsi="Times New Roman"/>
          <w:sz w:val="14"/>
          <w:szCs w:val="14"/>
          <w:color w:val="auto"/>
        </w:rPr>
        <w:t>In the event that we are subject to any termination, winding up, liquidation or reorganization, whether in bankruptcy, insolvency, reorganization, receivership or similar proceedings or upon an assignment for the benefit of our creditors or any other marshalling of our assets and liabilities or otherwise, if the holders of the notes receive for any reason any payment on the notes or other distributions of our assets with respect to the notes before all of our senior indebtedness is paid in full, the holders of the notes will be required to return that payment or distribution to the bankruptcy trustee, receiver, liquidating trustee, custodian, assignee, agent or other person making payment of our assets for all our senior indebtedness remaining unpaid until all that senior indebtedness has been paid in full, after giving effect to any other concurrent payment or distribution to the holders of such senior indebtedness.</w:t>
      </w:r>
    </w:p>
    <w:p>
      <w:pPr>
        <w:spacing w:after="0" w:line="94" w:lineRule="exact"/>
        <w:rPr>
          <w:sz w:val="20"/>
          <w:szCs w:val="20"/>
          <w:color w:val="auto"/>
        </w:rPr>
      </w:pPr>
    </w:p>
    <w:p>
      <w:pPr>
        <w:jc w:val="both"/>
        <w:ind w:left="1380" w:right="1579" w:firstLine="275"/>
        <w:spacing w:after="0" w:line="258" w:lineRule="auto"/>
        <w:rPr>
          <w:sz w:val="20"/>
          <w:szCs w:val="20"/>
          <w:color w:val="auto"/>
        </w:rPr>
      </w:pPr>
      <w:r>
        <w:rPr>
          <w:rFonts w:ascii="Times New Roman" w:cs="Times New Roman" w:eastAsia="Times New Roman" w:hAnsi="Times New Roman"/>
          <w:sz w:val="14"/>
          <w:szCs w:val="14"/>
          <w:color w:val="auto"/>
        </w:rPr>
        <w:t>As a result of the subordination of the notes in favor of the holders of our senior indebtedness, in the event of our bankruptcy or insolvency, holders of our senior indebtedness may receive more, ratably, and holders of the notes may receive less, ratably, than our other creditors.</w:t>
      </w:r>
    </w:p>
    <w:p>
      <w:pPr>
        <w:spacing w:after="0" w:line="78" w:lineRule="exact"/>
        <w:rPr>
          <w:sz w:val="20"/>
          <w:szCs w:val="20"/>
          <w:color w:val="auto"/>
        </w:rPr>
      </w:pPr>
    </w:p>
    <w:p>
      <w:pPr>
        <w:jc w:val="both"/>
        <w:ind w:left="1380" w:right="1599" w:firstLine="275"/>
        <w:spacing w:after="0" w:line="271" w:lineRule="auto"/>
        <w:rPr>
          <w:sz w:val="20"/>
          <w:szCs w:val="20"/>
          <w:color w:val="auto"/>
        </w:rPr>
      </w:pPr>
      <w:r>
        <w:rPr>
          <w:rFonts w:ascii="Times New Roman" w:cs="Times New Roman" w:eastAsia="Times New Roman" w:hAnsi="Times New Roman"/>
          <w:sz w:val="14"/>
          <w:szCs w:val="14"/>
          <w:color w:val="auto"/>
        </w:rPr>
        <w:t>All liabilities of the Bank and our other subsidiaries, including deposits and liabilities to general creditors arising during the ordinary course of business or otherwise, will be effectively senior in right of</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8" w:name="page39"/>
    <w:bookmarkEnd w:id="38"/>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419"/>
        <w:spacing w:after="0" w:line="237" w:lineRule="auto"/>
        <w:rPr>
          <w:sz w:val="20"/>
          <w:szCs w:val="20"/>
          <w:color w:val="auto"/>
        </w:rPr>
      </w:pPr>
      <w:r>
        <w:rPr>
          <w:rFonts w:ascii="Times New Roman" w:cs="Times New Roman" w:eastAsia="Times New Roman" w:hAnsi="Times New Roman"/>
          <w:sz w:val="14"/>
          <w:szCs w:val="14"/>
          <w:color w:val="auto"/>
        </w:rPr>
        <w:t>payment to the notes to the extent of the assets of the subsidiary because, as a shareholder of the subsidiary, we do not have any rights to the assets of the subsidiary except if the subsidiary declares a dividend payable to us or if there are assets of the subsidiary remaining after it has discharged its liabilities to its creditors in connection with its liquidation. As of March 31, 2026, on a consolidated basis, the Bank and our other subsidiaries had, in the aggregate, outstanding debt and deposits of $6.0 billion. Over the term of the notes, we will need to rely primarily on dividends paid to us by the Bank, which is a regulated and supervised depository institution, for the funds necessary to pay the interest on our outstanding debt obligations and to make dividends and other payments on our other securities outstanding now or in the future. With respect to the payment of the principal of the notes at their maturity, we may rely on the funds we receive from dividends paid to us by the Bank, but may have to rely on the proceeds of borrowings and/or the sale of other securities to pay the principal amount of the notes. Regulatory rules may restrict the Bank’s ability to pay dividends or make other distributions to us or provide funds to us by other means. As a result, with respect to the assets of the Bank, our creditors (including the holders of the notes) are structurally subordinated to the prior claims of creditors of the Bank, including its depositors, except to the extent that we may be a creditor with recognized claims against the Bank.</w:t>
      </w:r>
    </w:p>
    <w:p>
      <w:pPr>
        <w:spacing w:after="0" w:line="14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121" w:lineRule="exact"/>
        <w:rPr>
          <w:sz w:val="20"/>
          <w:szCs w:val="20"/>
          <w:color w:val="auto"/>
        </w:rPr>
      </w:pPr>
    </w:p>
    <w:p>
      <w:pPr>
        <w:ind w:left="1380" w:right="1399" w:firstLine="275"/>
        <w:spacing w:after="0" w:line="254" w:lineRule="auto"/>
        <w:rPr>
          <w:sz w:val="20"/>
          <w:szCs w:val="20"/>
          <w:color w:val="auto"/>
        </w:rPr>
      </w:pPr>
      <w:r>
        <w:rPr>
          <w:rFonts w:ascii="Times New Roman" w:cs="Times New Roman" w:eastAsia="Times New Roman" w:hAnsi="Times New Roman"/>
          <w:sz w:val="14"/>
          <w:szCs w:val="14"/>
          <w:color w:val="auto"/>
        </w:rPr>
        <w:t>We may, at our option, redeem the notes, in whole or in part, on any date on or after March 15, 2031. In addition, at our option, we may redeem the notes in whole but not in part, at any time upon the occurrence of:</w:t>
      </w:r>
    </w:p>
    <w:p>
      <w:pPr>
        <w:spacing w:after="0" w:line="216" w:lineRule="exact"/>
        <w:rPr>
          <w:sz w:val="20"/>
          <w:szCs w:val="20"/>
          <w:color w:val="auto"/>
        </w:rPr>
      </w:pPr>
    </w:p>
    <w:p>
      <w:pPr>
        <w:ind w:left="1780" w:right="1399" w:hanging="134"/>
        <w:spacing w:after="0" w:line="250" w:lineRule="auto"/>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“Tier 2 Capital Event,” which is defined in the indenture to mean receipt by us of a legal opinion of counsel experienced in such matters to the effect that, as a result of any change, event, occurrence, circumstance or effect occurring on or after the date of the indenture, the notes do not constitute, or within 90 days of the date of such legal opinion, will not constitute, Tier 2 capital (or its then equivalent if we were subject to such capital requirement) for purposes of capital adequacy guidelines of the Federal Reserve, as then in effect and applicable to us;</w:t>
      </w:r>
    </w:p>
    <w:p>
      <w:pPr>
        <w:spacing w:after="0" w:line="55" w:lineRule="exact"/>
        <w:rPr>
          <w:rFonts w:ascii="Times New Roman" w:cs="Times New Roman" w:eastAsia="Times New Roman" w:hAnsi="Times New Roman"/>
          <w:sz w:val="14"/>
          <w:szCs w:val="14"/>
          <w:color w:val="auto"/>
        </w:rPr>
      </w:pPr>
    </w:p>
    <w:p>
      <w:pPr>
        <w:ind w:left="1780" w:right="1479" w:hanging="134"/>
        <w:spacing w:after="0" w:line="254" w:lineRule="auto"/>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 Event,” which is defined in the indenture to mean the receipt by us of a legal opinion of counsel experienced in such matters to the effect that there is a material risk that interest payable by us on the notes is not, or within 90 days of the date of such legal opinion, will not be, deductible by us, in whole or in part, for U.S. federal income tax purposes; or</w:t>
      </w:r>
    </w:p>
    <w:p>
      <w:pPr>
        <w:spacing w:after="0" w:line="60" w:lineRule="exact"/>
        <w:rPr>
          <w:rFonts w:ascii="Times New Roman" w:cs="Times New Roman" w:eastAsia="Times New Roman" w:hAnsi="Times New Roman"/>
          <w:sz w:val="14"/>
          <w:szCs w:val="14"/>
          <w:color w:val="auto"/>
        </w:rPr>
      </w:pPr>
    </w:p>
    <w:p>
      <w:pPr>
        <w:ind w:left="1780" w:right="1439" w:hanging="134"/>
        <w:spacing w:after="0" w:line="254" w:lineRule="auto"/>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“Investment Company Event,” which is defined in the indenture to mean receipt by us of a legal opinion from counsel experienced in such matters to the effect that there is a material risk that we are, or within 90 days of the date of such legal opinion, will be considered an “investment company” that is required to be registered under the Investment Company Act of 1940, as amended.</w:t>
      </w:r>
    </w:p>
    <w:p>
      <w:pPr>
        <w:spacing w:after="0" w:line="91" w:lineRule="exact"/>
        <w:rPr>
          <w:sz w:val="20"/>
          <w:szCs w:val="20"/>
          <w:color w:val="auto"/>
        </w:rPr>
      </w:pPr>
    </w:p>
    <w:p>
      <w:pPr>
        <w:ind w:left="1380" w:right="1399" w:firstLine="275"/>
        <w:spacing w:after="0" w:line="237" w:lineRule="auto"/>
        <w:rPr>
          <w:sz w:val="20"/>
          <w:szCs w:val="20"/>
          <w:color w:val="auto"/>
        </w:rPr>
      </w:pPr>
      <w:r>
        <w:rPr>
          <w:rFonts w:ascii="Times New Roman" w:cs="Times New Roman" w:eastAsia="Times New Roman" w:hAnsi="Times New Roman"/>
          <w:sz w:val="14"/>
          <w:szCs w:val="14"/>
          <w:color w:val="auto"/>
        </w:rPr>
        <w:t>If all or any portion of the New Notes ceases to be deemed to be Tier 2 Capital, other than due to the limitation imposed on the capital treatment of subordinated debt during the five (5) years immediately preceding the maturity date of the New Notes, the Company will immediately notify the trustee and the holders, and thereafter the Company and the holders will work together in good faith, subject to the terms of the indenture, to execute and deliver all agreements as reasonably necessary in order to restructure the applicable portions of the obligations evidenced by the New Notes to qualify as Tier 2 Capital and the Company shall request, subject to the terms of the indenture, that the trustee execute and deliver all such agreements as may be reasonably necessary in order to effect any restructuring agreed to by the Company and the holders; provided, however, that the foregoing shall not limit the Company’s right to redeem the New Notes pursuant to the terms of the New Notes and the indenture, including upon the occurrence of a Tier 2 Capital Event.</w:t>
      </w:r>
    </w:p>
    <w:p>
      <w:pPr>
        <w:spacing w:after="0" w:line="96" w:lineRule="exact"/>
        <w:rPr>
          <w:sz w:val="20"/>
          <w:szCs w:val="20"/>
          <w:color w:val="auto"/>
        </w:rPr>
      </w:pPr>
    </w:p>
    <w:p>
      <w:pPr>
        <w:ind w:left="1380" w:right="1399" w:firstLine="275"/>
        <w:spacing w:after="0"/>
        <w:rPr>
          <w:sz w:val="20"/>
          <w:szCs w:val="20"/>
          <w:color w:val="auto"/>
        </w:rPr>
      </w:pPr>
      <w:r>
        <w:rPr>
          <w:rFonts w:ascii="Times New Roman" w:cs="Times New Roman" w:eastAsia="Times New Roman" w:hAnsi="Times New Roman"/>
          <w:sz w:val="14"/>
          <w:szCs w:val="14"/>
          <w:color w:val="auto"/>
        </w:rPr>
        <w:t>Any redemption of the New Notes will be subject to prior approval of the Federal Reserve, to the extent such approval is then required. Any redemption of the notes will be at a redemption price equal to the principal amount of the notes, or portion thereof, to be redeemed plus accrued and unpaid interest to, but excluding, the date of redemption. Any redemption of the notes will be subject to any required regulatory approvals.</w:t>
      </w:r>
    </w:p>
    <w:p>
      <w:pPr>
        <w:spacing w:after="0" w:line="253" w:lineRule="exact"/>
        <w:rPr>
          <w:sz w:val="20"/>
          <w:szCs w:val="20"/>
          <w:color w:val="auto"/>
        </w:rPr>
      </w:pPr>
    </w:p>
    <w:p>
      <w:pPr>
        <w:ind w:left="1380" w:right="1439" w:firstLine="275"/>
        <w:spacing w:after="0" w:line="271" w:lineRule="auto"/>
        <w:rPr>
          <w:sz w:val="20"/>
          <w:szCs w:val="20"/>
          <w:color w:val="auto"/>
        </w:rPr>
      </w:pPr>
      <w:r>
        <w:rPr>
          <w:rFonts w:ascii="Times New Roman" w:cs="Times New Roman" w:eastAsia="Times New Roman" w:hAnsi="Times New Roman"/>
          <w:sz w:val="14"/>
          <w:szCs w:val="14"/>
          <w:color w:val="auto"/>
        </w:rPr>
        <w:t>If less than all of the notes are to be redeemed, the trustee will select the notes or portions thereof to be redeemed on a pro rata basis.</w:t>
      </w: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39" w:name="page40"/>
    <w:bookmarkEnd w:id="39"/>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659" w:firstLine="275"/>
        <w:spacing w:after="0" w:line="251" w:lineRule="auto"/>
        <w:rPr>
          <w:sz w:val="20"/>
          <w:szCs w:val="20"/>
          <w:color w:val="auto"/>
        </w:rPr>
      </w:pPr>
      <w:r>
        <w:rPr>
          <w:rFonts w:ascii="Times New Roman" w:cs="Times New Roman" w:eastAsia="Times New Roman" w:hAnsi="Times New Roman"/>
          <w:sz w:val="14"/>
          <w:szCs w:val="14"/>
          <w:color w:val="auto"/>
        </w:rPr>
        <w:t>If the notes are represented by global notes held by DTC and such redemption is processed through DTC, such redemption will be made on a “Pro Rata Pass Through Distribution of Principal” basis in accordance with the procedures of DTC.</w:t>
      </w:r>
    </w:p>
    <w:p>
      <w:pPr>
        <w:spacing w:after="0" w:line="82" w:lineRule="exact"/>
        <w:rPr>
          <w:sz w:val="20"/>
          <w:szCs w:val="20"/>
          <w:color w:val="auto"/>
        </w:rPr>
      </w:pPr>
    </w:p>
    <w:p>
      <w:pPr>
        <w:ind w:left="1380" w:right="1399" w:firstLine="275"/>
        <w:spacing w:after="0" w:line="238" w:lineRule="auto"/>
        <w:rPr>
          <w:sz w:val="20"/>
          <w:szCs w:val="20"/>
          <w:color w:val="auto"/>
        </w:rPr>
      </w:pPr>
      <w:r>
        <w:rPr>
          <w:rFonts w:ascii="Times New Roman" w:cs="Times New Roman" w:eastAsia="Times New Roman" w:hAnsi="Times New Roman"/>
          <w:sz w:val="14"/>
          <w:szCs w:val="14"/>
          <w:color w:val="auto"/>
        </w:rPr>
        <w:t>Notices of redemption will be mailed by registered or certified mail (return receipt requested), facsimile or overnight air courier guaranteeing next day delivery, at least 10 but no more than 60 days before the redemption date to each holder of notes to be redeemed at its registered address. If any note is to be redeemed in part only, the notice of redemption that relates to that note will state the portion of the principal amount thereof to be redeemed. A new note in principal amount equal to the unredeemed portion of the original note, if any,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93" w:lineRule="exact"/>
        <w:rPr>
          <w:sz w:val="20"/>
          <w:szCs w:val="20"/>
          <w:color w:val="auto"/>
        </w:rPr>
      </w:pPr>
    </w:p>
    <w:p>
      <w:pPr>
        <w:ind w:left="1380" w:right="1379" w:firstLine="275"/>
        <w:spacing w:after="0" w:line="239" w:lineRule="auto"/>
        <w:rPr>
          <w:sz w:val="20"/>
          <w:szCs w:val="20"/>
          <w:color w:val="auto"/>
        </w:rPr>
      </w:pPr>
      <w:r>
        <w:rPr>
          <w:rFonts w:ascii="Times New Roman" w:cs="Times New Roman" w:eastAsia="Times New Roman" w:hAnsi="Times New Roman"/>
          <w:sz w:val="14"/>
          <w:szCs w:val="14"/>
          <w:color w:val="auto"/>
        </w:rPr>
        <w:t>Any notice of redemption may be conditional in the Company’s discretion, and the Company may delay the redemption date until such time as any or all of such conditions have been satisfied or revoked by the Company if it determines that such conditions will not be satisfied. The Company will provide written notice to the trustee prior to the close of business two business days prior to the redemption date (or such shorter period as may be acceptable to the trustee) if any such redemption has been rescinded or delayed, and upon receipt the trustee will provide such notice to each holder of the notes in the same manner in which the notice of redemption was given.</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Repurchases</w:t>
      </w:r>
    </w:p>
    <w:p>
      <w:pPr>
        <w:spacing w:after="0" w:line="111" w:lineRule="exact"/>
        <w:rPr>
          <w:sz w:val="20"/>
          <w:szCs w:val="20"/>
          <w:color w:val="auto"/>
        </w:rPr>
      </w:pPr>
    </w:p>
    <w:p>
      <w:pPr>
        <w:ind w:left="1380" w:right="1599" w:firstLine="275"/>
        <w:spacing w:after="0" w:line="251" w:lineRule="auto"/>
        <w:rPr>
          <w:sz w:val="20"/>
          <w:szCs w:val="20"/>
          <w:color w:val="auto"/>
        </w:rPr>
      </w:pPr>
      <w:r>
        <w:rPr>
          <w:rFonts w:ascii="Times New Roman" w:cs="Times New Roman" w:eastAsia="Times New Roman" w:hAnsi="Times New Roman"/>
          <w:sz w:val="14"/>
          <w:szCs w:val="14"/>
          <w:color w:val="auto"/>
        </w:rPr>
        <w:t>We may purchase notes at any time on the open market or otherwise. If we purchase notes in this manner, we have the discretion to hold, resell or surrender the notes to the trustee under the indenture for cancellation.</w:t>
      </w:r>
    </w:p>
    <w:p>
      <w:pPr>
        <w:spacing w:after="0" w:line="13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 Sinking Fund; Non-Convertible</w:t>
      </w:r>
    </w:p>
    <w:p>
      <w:pPr>
        <w:spacing w:after="0" w:line="121" w:lineRule="exact"/>
        <w:rPr>
          <w:sz w:val="20"/>
          <w:szCs w:val="20"/>
          <w:color w:val="auto"/>
        </w:rPr>
      </w:pPr>
    </w:p>
    <w:p>
      <w:pPr>
        <w:ind w:left="1380" w:right="1599" w:firstLine="275"/>
        <w:spacing w:after="0" w:line="243" w:lineRule="auto"/>
        <w:rPr>
          <w:sz w:val="20"/>
          <w:szCs w:val="20"/>
          <w:color w:val="auto"/>
        </w:rPr>
      </w:pPr>
      <w:r>
        <w:rPr>
          <w:rFonts w:ascii="Times New Roman" w:cs="Times New Roman" w:eastAsia="Times New Roman" w:hAnsi="Times New Roman"/>
          <w:sz w:val="14"/>
          <w:szCs w:val="14"/>
          <w:color w:val="auto"/>
        </w:rPr>
        <w:t>The notes will not be entitled to the benefit of any sinking fund. This means that we will not deposit money on a regular basis into any separate custodial account to repay the notes. The notes are not convertible into, or exchangeable for, any of our equity securities.</w:t>
      </w:r>
    </w:p>
    <w:p>
      <w:pPr>
        <w:spacing w:after="0" w:line="14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Form, Denomination, Transfer, Exchange and Book-Entry Procedures</w:t>
      </w:r>
    </w:p>
    <w:p>
      <w:pPr>
        <w:spacing w:after="0" w:line="111" w:lineRule="exact"/>
        <w:rPr>
          <w:sz w:val="20"/>
          <w:szCs w:val="20"/>
          <w:color w:val="auto"/>
        </w:rPr>
      </w:pPr>
    </w:p>
    <w:p>
      <w:pPr>
        <w:ind w:left="1380" w:right="1499" w:firstLine="275"/>
        <w:spacing w:after="0" w:line="271" w:lineRule="auto"/>
        <w:rPr>
          <w:sz w:val="20"/>
          <w:szCs w:val="20"/>
          <w:color w:val="auto"/>
        </w:rPr>
      </w:pPr>
      <w:r>
        <w:rPr>
          <w:rFonts w:ascii="Times New Roman" w:cs="Times New Roman" w:eastAsia="Times New Roman" w:hAnsi="Times New Roman"/>
          <w:sz w:val="14"/>
          <w:szCs w:val="14"/>
          <w:color w:val="auto"/>
        </w:rPr>
        <w:t>The notes will be issued only in fully registered form, without interest coupons, and in denominations of $100,000 and integral multiples of $1,000.</w:t>
      </w:r>
    </w:p>
    <w:p>
      <w:pPr>
        <w:spacing w:after="0" w:line="69" w:lineRule="exact"/>
        <w:rPr>
          <w:sz w:val="20"/>
          <w:szCs w:val="20"/>
          <w:color w:val="auto"/>
        </w:rPr>
      </w:pPr>
    </w:p>
    <w:p>
      <w:pPr>
        <w:ind w:left="1380" w:right="1439" w:firstLine="275"/>
        <w:spacing w:after="0" w:line="237" w:lineRule="auto"/>
        <w:rPr>
          <w:sz w:val="20"/>
          <w:szCs w:val="20"/>
          <w:color w:val="auto"/>
        </w:rPr>
      </w:pPr>
      <w:r>
        <w:rPr>
          <w:rFonts w:ascii="Times New Roman" w:cs="Times New Roman" w:eastAsia="Times New Roman" w:hAnsi="Times New Roman"/>
          <w:sz w:val="14"/>
          <w:szCs w:val="14"/>
          <w:color w:val="auto"/>
        </w:rPr>
        <w:t>Unless otherwise required for institutional accredited investors, the notes will be evidenced by a global note which will be deposited with, or on behalf of, DTC, or any successor thereto, and registered in the name of Cede &amp; Co., or Cede, as nominee of DTC. Except as set forth below, record ownership of the global note may be transferred, in whole or in part, only to another nominee of DTC or to a successor of DTC or its nominee. If New Notes are issued to institutional accredited investors in certificated form, the New Notes will be transferable only on the records of the trustee and may not be exchanged for a beneficial interest in the global note unless the exchange occurs in connection with a transfer where the transferor and transferee provide evidence satisfactory to the trustee and DTC that the transferee is eligible to hold a beneficial interest in the global note.</w:t>
      </w:r>
    </w:p>
    <w:p>
      <w:pPr>
        <w:spacing w:after="0" w:line="94" w:lineRule="exact"/>
        <w:rPr>
          <w:sz w:val="20"/>
          <w:szCs w:val="20"/>
          <w:color w:val="auto"/>
        </w:rPr>
      </w:pPr>
    </w:p>
    <w:p>
      <w:pPr>
        <w:ind w:left="1380" w:right="1619" w:firstLine="275"/>
        <w:spacing w:after="0" w:line="271" w:lineRule="auto"/>
        <w:rPr>
          <w:sz w:val="20"/>
          <w:szCs w:val="20"/>
          <w:color w:val="auto"/>
        </w:rPr>
      </w:pPr>
      <w:r>
        <w:rPr>
          <w:rFonts w:ascii="Times New Roman" w:cs="Times New Roman" w:eastAsia="Times New Roman" w:hAnsi="Times New Roman"/>
          <w:sz w:val="14"/>
          <w:szCs w:val="14"/>
          <w:color w:val="auto"/>
        </w:rPr>
        <w:t>The global note will not be registered in the name of any person, or exchanged for notes that are registered in the name of any person, other than DTC or its nominee, unless one of the following occurs:</w:t>
      </w:r>
    </w:p>
    <w:p>
      <w:pPr>
        <w:spacing w:after="0" w:line="38" w:lineRule="exact"/>
        <w:rPr>
          <w:sz w:val="20"/>
          <w:szCs w:val="20"/>
          <w:color w:val="auto"/>
        </w:rPr>
      </w:pPr>
    </w:p>
    <w:p>
      <w:pPr>
        <w:ind w:left="1780" w:right="1439" w:hanging="134"/>
        <w:spacing w:after="0" w:line="258" w:lineRule="auto"/>
        <w:tabs>
          <w:tab w:leader="none" w:pos="1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acting as the depositary for the global note, or DTC has ceased to be a “clearing agency” registered under the Exchange Act, and in either case we fail to appoint a successor depositary within 90 days;</w:t>
      </w:r>
    </w:p>
    <w:p>
      <w:pPr>
        <w:spacing w:after="0" w:line="47" w:lineRule="exact"/>
        <w:rPr>
          <w:rFonts w:ascii="Times New Roman" w:cs="Times New Roman" w:eastAsia="Times New Roman" w:hAnsi="Times New Roman"/>
          <w:sz w:val="14"/>
          <w:szCs w:val="14"/>
          <w:color w:val="auto"/>
        </w:rPr>
      </w:pPr>
    </w:p>
    <w:p>
      <w:pPr>
        <w:ind w:left="1780" w:right="1739" w:hanging="134"/>
        <w:spacing w:after="0" w:line="271" w:lineRule="auto"/>
        <w:tabs>
          <w:tab w:leader="none" w:pos="1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that the notes are no longer to be represented by the global note and so notify the trustee; or</w:t>
      </w:r>
    </w:p>
    <w:p>
      <w:pPr>
        <w:spacing w:after="0" w:line="48" w:lineRule="exact"/>
        <w:rPr>
          <w:rFonts w:ascii="Times New Roman" w:cs="Times New Roman" w:eastAsia="Times New Roman" w:hAnsi="Times New Roman"/>
          <w:sz w:val="14"/>
          <w:szCs w:val="14"/>
          <w:color w:val="auto"/>
        </w:rPr>
      </w:pPr>
    </w:p>
    <w:p>
      <w:pPr>
        <w:ind w:left="1780" w:right="1459" w:hanging="134"/>
        <w:spacing w:after="0" w:line="271" w:lineRule="auto"/>
        <w:tabs>
          <w:tab w:leader="none" w:pos="1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with respect to the notes represented by the global note has occurred and is continuing and DTC or its participant(s) has requested the issuance of definitive subordinated notes.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0" w:name="page41"/>
    <w:bookmarkEnd w:id="40"/>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379" w:firstLine="275"/>
        <w:spacing w:after="0" w:line="250" w:lineRule="auto"/>
        <w:rPr>
          <w:sz w:val="20"/>
          <w:szCs w:val="20"/>
          <w:color w:val="auto"/>
        </w:rPr>
      </w:pPr>
      <w:r>
        <w:rPr>
          <w:rFonts w:ascii="Times New Roman" w:cs="Times New Roman" w:eastAsia="Times New Roman" w:hAnsi="Times New Roman"/>
          <w:sz w:val="14"/>
          <w:szCs w:val="14"/>
          <w:color w:val="auto"/>
        </w:rPr>
        <w:t>Any global note exchanged in accordance with the first two items above will be so exchanged in whole and not in part, and any global note exchanged in accordance with the third item above may be exchanged in whole or from time to time in part as directed by DTC. In those circumstances, DTC will determine in whose names any securities issued in exchange for the global note will be registered. Any such notes in certificated form will be issued in minimum denominations of $100,000 and multiples of $1,000 in excess thereof and may be transferred or exchanged only in such minimum denominations.</w:t>
      </w:r>
    </w:p>
    <w:p>
      <w:pPr>
        <w:spacing w:after="0" w:line="96" w:lineRule="exact"/>
        <w:rPr>
          <w:sz w:val="20"/>
          <w:szCs w:val="20"/>
          <w:color w:val="auto"/>
        </w:rPr>
      </w:pPr>
    </w:p>
    <w:p>
      <w:pPr>
        <w:ind w:left="1380" w:right="1599" w:firstLine="275"/>
        <w:spacing w:after="0" w:line="271" w:lineRule="auto"/>
        <w:rPr>
          <w:sz w:val="20"/>
          <w:szCs w:val="20"/>
          <w:color w:val="auto"/>
        </w:rPr>
      </w:pPr>
      <w:r>
        <w:rPr>
          <w:rFonts w:ascii="Times New Roman" w:cs="Times New Roman" w:eastAsia="Times New Roman" w:hAnsi="Times New Roman"/>
          <w:sz w:val="14"/>
          <w:szCs w:val="14"/>
          <w:color w:val="auto"/>
        </w:rPr>
        <w:t>DTC or its nominee will be considered the sole owner and holder of the global note for all purposes, and as a result:</w:t>
      </w:r>
    </w:p>
    <w:p>
      <w:pPr>
        <w:spacing w:after="0" w:line="49" w:lineRule="exact"/>
        <w:rPr>
          <w:sz w:val="20"/>
          <w:szCs w:val="20"/>
          <w:color w:val="auto"/>
        </w:rPr>
      </w:pPr>
    </w:p>
    <w:p>
      <w:pPr>
        <w:ind w:left="1780" w:hanging="134"/>
        <w:spacing w:after="0"/>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cannot get notes registered in your name if they are represented by the global note;</w:t>
      </w:r>
    </w:p>
    <w:p>
      <w:pPr>
        <w:spacing w:after="0" w:line="96" w:lineRule="exact"/>
        <w:rPr>
          <w:rFonts w:ascii="Times New Roman" w:cs="Times New Roman" w:eastAsia="Times New Roman" w:hAnsi="Times New Roman"/>
          <w:sz w:val="14"/>
          <w:szCs w:val="14"/>
          <w:color w:val="auto"/>
        </w:rPr>
      </w:pPr>
    </w:p>
    <w:p>
      <w:pPr>
        <w:ind w:left="1780" w:right="1439" w:hanging="134"/>
        <w:spacing w:after="0" w:line="271" w:lineRule="auto"/>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cannot receive certificated (physical) notes in exchange for your beneficial interest in the global note;</w:t>
      </w:r>
    </w:p>
    <w:p>
      <w:pPr>
        <w:spacing w:after="0" w:line="48" w:lineRule="exact"/>
        <w:rPr>
          <w:rFonts w:ascii="Times New Roman" w:cs="Times New Roman" w:eastAsia="Times New Roman" w:hAnsi="Times New Roman"/>
          <w:sz w:val="14"/>
          <w:szCs w:val="14"/>
          <w:color w:val="auto"/>
        </w:rPr>
      </w:pPr>
    </w:p>
    <w:p>
      <w:pPr>
        <w:ind w:left="1780" w:right="1539" w:hanging="134"/>
        <w:spacing w:after="0" w:line="271" w:lineRule="auto"/>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will not be considered to be the owner or holder of the global note or any note it represents for any purpose; and</w:t>
      </w:r>
    </w:p>
    <w:p>
      <w:pPr>
        <w:spacing w:after="0" w:line="58"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payments on the global note will be made to DTC or its nominee.</w:t>
      </w:r>
    </w:p>
    <w:p>
      <w:pPr>
        <w:spacing w:after="0" w:line="107" w:lineRule="exact"/>
        <w:rPr>
          <w:sz w:val="20"/>
          <w:szCs w:val="20"/>
          <w:color w:val="auto"/>
        </w:rPr>
      </w:pPr>
    </w:p>
    <w:p>
      <w:pPr>
        <w:ind w:left="1380" w:right="1499" w:firstLine="275"/>
        <w:spacing w:after="0" w:line="258" w:lineRule="auto"/>
        <w:rPr>
          <w:sz w:val="20"/>
          <w:szCs w:val="20"/>
          <w:color w:val="auto"/>
        </w:rPr>
      </w:pPr>
      <w:r>
        <w:rPr>
          <w:rFonts w:ascii="Times New Roman" w:cs="Times New Roman" w:eastAsia="Times New Roman" w:hAnsi="Times New Roman"/>
          <w:sz w:val="14"/>
          <w:szCs w:val="14"/>
          <w:color w:val="auto"/>
        </w:rPr>
        <w:t>The laws of some jurisdictions require that certain kinds of purchasers (for example, certain insurance companies) can only own securities in definitive (certificated) form. These laws may limit your ability to transfer your beneficial interests in the global note to these types of purchasers.</w:t>
      </w:r>
    </w:p>
    <w:p>
      <w:pPr>
        <w:spacing w:after="0" w:line="89" w:lineRule="exact"/>
        <w:rPr>
          <w:sz w:val="20"/>
          <w:szCs w:val="20"/>
          <w:color w:val="auto"/>
        </w:rPr>
      </w:pPr>
    </w:p>
    <w:p>
      <w:pPr>
        <w:ind w:left="1380" w:right="1399" w:firstLine="275"/>
        <w:spacing w:after="0" w:line="250" w:lineRule="auto"/>
        <w:rPr>
          <w:sz w:val="20"/>
          <w:szCs w:val="20"/>
          <w:color w:val="auto"/>
        </w:rPr>
      </w:pPr>
      <w:r>
        <w:rPr>
          <w:rFonts w:ascii="Times New Roman" w:cs="Times New Roman" w:eastAsia="Times New Roman" w:hAnsi="Times New Roman"/>
          <w:sz w:val="14"/>
          <w:szCs w:val="14"/>
          <w:color w:val="auto"/>
        </w:rPr>
        <w:t>Only institutions (such as a securities broker or dealer) that have accounts with the DTC or its nominee (called “participants”) and persons that may hold beneficial interests through participants (including through Euroclear Bank SA/NV or Clearstream Banking, société anonyme, as DTC participants) can own a beneficial interest in the global note. The only place where the ownership of beneficial interests in the global note will appear and the only way the transfer of those interests can be made will be on the records kept by DTC (for their participants’ interests) and the records kept by those participants (for interests of persons held by participants on their behalf).</w:t>
      </w:r>
    </w:p>
    <w:p>
      <w:pPr>
        <w:spacing w:after="0" w:line="83" w:lineRule="exact"/>
        <w:rPr>
          <w:sz w:val="20"/>
          <w:szCs w:val="20"/>
          <w:color w:val="auto"/>
        </w:rPr>
      </w:pPr>
    </w:p>
    <w:p>
      <w:pPr>
        <w:ind w:left="1380" w:right="1419" w:firstLine="275"/>
        <w:spacing w:after="0" w:line="254" w:lineRule="auto"/>
        <w:rPr>
          <w:sz w:val="20"/>
          <w:szCs w:val="20"/>
          <w:color w:val="auto"/>
        </w:rPr>
      </w:pPr>
      <w:r>
        <w:rPr>
          <w:rFonts w:ascii="Times New Roman" w:cs="Times New Roman" w:eastAsia="Times New Roman" w:hAnsi="Times New Roman"/>
          <w:sz w:val="14"/>
          <w:szCs w:val="14"/>
          <w:color w:val="auto"/>
        </w:rPr>
        <w:t>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w:t>
      </w:r>
    </w:p>
    <w:p>
      <w:pPr>
        <w:spacing w:after="0" w:line="91" w:lineRule="exact"/>
        <w:rPr>
          <w:sz w:val="20"/>
          <w:szCs w:val="20"/>
          <w:color w:val="auto"/>
        </w:rPr>
      </w:pPr>
    </w:p>
    <w:p>
      <w:pPr>
        <w:ind w:left="1380" w:right="1619" w:firstLine="275"/>
        <w:spacing w:after="0" w:line="258" w:lineRule="auto"/>
        <w:rPr>
          <w:sz w:val="20"/>
          <w:szCs w:val="20"/>
          <w:color w:val="auto"/>
        </w:rPr>
      </w:pPr>
      <w:r>
        <w:rPr>
          <w:rFonts w:ascii="Times New Roman" w:cs="Times New Roman" w:eastAsia="Times New Roman" w:hAnsi="Times New Roman"/>
          <w:sz w:val="14"/>
          <w:szCs w:val="14"/>
          <w:color w:val="auto"/>
        </w:rPr>
        <w:t>Cash payments of interest on and principal of the global note will be made to Cede, the nominee for DTC, as the registered owner of the global note. These payments will be made by wire transfer of immediately available funds on each payment date.</w:t>
      </w:r>
    </w:p>
    <w:p>
      <w:pPr>
        <w:spacing w:after="0" w:line="89" w:lineRule="exact"/>
        <w:rPr>
          <w:sz w:val="20"/>
          <w:szCs w:val="20"/>
          <w:color w:val="auto"/>
        </w:rPr>
      </w:pPr>
    </w:p>
    <w:p>
      <w:pPr>
        <w:ind w:left="1380" w:right="1399" w:firstLine="275"/>
        <w:spacing w:after="0" w:line="254" w:lineRule="auto"/>
        <w:rPr>
          <w:sz w:val="20"/>
          <w:szCs w:val="20"/>
          <w:color w:val="auto"/>
        </w:rPr>
      </w:pPr>
      <w:r>
        <w:rPr>
          <w:rFonts w:ascii="Times New Roman" w:cs="Times New Roman" w:eastAsia="Times New Roman" w:hAnsi="Times New Roman"/>
          <w:sz w:val="14"/>
          <w:szCs w:val="14"/>
          <w:color w:val="auto"/>
        </w:rPr>
        <w:t>You may exchange or transfer the notes at the corporate trust office of the trustee for the notes or at any other office or agency maintained by us for those purposes. We will not require payment of a service charge for any transfer or exchange of the notes, but we may require payment of a sum sufficient to cover any applicable tax or other governmental charge.</w:t>
      </w:r>
    </w:p>
    <w:p>
      <w:pPr>
        <w:spacing w:after="0" w:line="81" w:lineRule="exact"/>
        <w:rPr>
          <w:sz w:val="20"/>
          <w:szCs w:val="20"/>
          <w:color w:val="auto"/>
        </w:rPr>
      </w:pPr>
    </w:p>
    <w:p>
      <w:pPr>
        <w:ind w:left="1380" w:right="1459" w:firstLine="275"/>
        <w:spacing w:after="0" w:line="250" w:lineRule="auto"/>
        <w:rPr>
          <w:sz w:val="20"/>
          <w:szCs w:val="20"/>
          <w:color w:val="auto"/>
        </w:rPr>
      </w:pPr>
      <w:r>
        <w:rPr>
          <w:rFonts w:ascii="Times New Roman" w:cs="Times New Roman" w:eastAsia="Times New Roman" w:hAnsi="Times New Roman"/>
          <w:sz w:val="14"/>
          <w:szCs w:val="14"/>
          <w:color w:val="auto"/>
        </w:rPr>
        <w:t>We have been informed that, with respect to any cash payment of interest on or principal of the global note,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w:t>
      </w:r>
    </w:p>
    <w:p>
      <w:pPr>
        <w:spacing w:after="0" w:line="94" w:lineRule="exact"/>
        <w:rPr>
          <w:sz w:val="20"/>
          <w:szCs w:val="20"/>
          <w:color w:val="auto"/>
        </w:rPr>
      </w:pPr>
    </w:p>
    <w:p>
      <w:pPr>
        <w:ind w:left="1380" w:right="1479" w:firstLine="275"/>
        <w:spacing w:after="0" w:line="253" w:lineRule="auto"/>
        <w:rPr>
          <w:sz w:val="20"/>
          <w:szCs w:val="20"/>
          <w:color w:val="auto"/>
        </w:rPr>
      </w:pPr>
      <w:r>
        <w:rPr>
          <w:rFonts w:ascii="Times New Roman" w:cs="Times New Roman" w:eastAsia="Times New Roman" w:hAnsi="Times New Roman"/>
          <w:sz w:val="14"/>
          <w:szCs w:val="14"/>
          <w:color w:val="auto"/>
        </w:rPr>
        <w:t>We also understand that neither DTC nor Cede will consent or vote with respect to the notes. We have been advised that under its usual procedures, DTC will mail an “omnibus proxy” to us as soon as possible after the record date. The omnibus proxy assigns Cede’s consenting or voting rights to those participants to whose accounts the notes are credited on the record date identified in a listing attached to the omnibus proxy.</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194310</wp:posOffset>
            </wp:positionV>
            <wp:extent cx="52139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1" w:name="page42"/>
    <w:bookmarkEnd w:id="41"/>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479" w:firstLine="275"/>
        <w:spacing w:after="0" w:line="252" w:lineRule="auto"/>
        <w:rPr>
          <w:sz w:val="20"/>
          <w:szCs w:val="20"/>
          <w:color w:val="auto"/>
        </w:rPr>
      </w:pPr>
      <w:r>
        <w:rPr>
          <w:rFonts w:ascii="Times New Roman" w:cs="Times New Roman" w:eastAsia="Times New Roman" w:hAnsi="Times New Roman"/>
          <w:sz w:val="14"/>
          <w:szCs w:val="14"/>
          <w:color w:val="auto"/>
        </w:rPr>
        <w:t>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w:t>
      </w:r>
    </w:p>
    <w:p>
      <w:pPr>
        <w:spacing w:after="0" w:line="93" w:lineRule="exact"/>
        <w:rPr>
          <w:sz w:val="20"/>
          <w:szCs w:val="20"/>
          <w:color w:val="auto"/>
        </w:rPr>
      </w:pPr>
    </w:p>
    <w:p>
      <w:pPr>
        <w:ind w:left="1380" w:right="1499" w:firstLine="275"/>
        <w:spacing w:after="0" w:line="252" w:lineRule="auto"/>
        <w:rPr>
          <w:sz w:val="20"/>
          <w:szCs w:val="20"/>
          <w:color w:val="auto"/>
        </w:rPr>
      </w:pPr>
      <w:r>
        <w:rPr>
          <w:rFonts w:ascii="Times New Roman" w:cs="Times New Roman" w:eastAsia="Times New Roman" w:hAnsi="Times New Roman"/>
          <w:sz w:val="14"/>
          <w:szCs w:val="14"/>
          <w:color w:val="auto"/>
        </w:rPr>
        <w:t>DTC has advised that it will take any action permitted to be taken by a holder of notes (including the presentation of notes for exchange) only at the direction of one or more participants to whose account with DTC interests in the global note are credited and only in respect of such portion of the principal amount of the notes represented by the global note as to which such participant has, or participants have, given such direction.</w:t>
      </w:r>
    </w:p>
    <w:p>
      <w:pPr>
        <w:spacing w:after="0" w:line="93" w:lineRule="exact"/>
        <w:rPr>
          <w:sz w:val="20"/>
          <w:szCs w:val="20"/>
          <w:color w:val="auto"/>
        </w:rPr>
      </w:pPr>
    </w:p>
    <w:p>
      <w:pPr>
        <w:ind w:left="1380" w:right="1419" w:firstLine="275"/>
        <w:spacing w:after="0" w:line="248" w:lineRule="auto"/>
        <w:rPr>
          <w:sz w:val="20"/>
          <w:szCs w:val="20"/>
          <w:color w:val="auto"/>
        </w:rPr>
      </w:pPr>
      <w:r>
        <w:rPr>
          <w:rFonts w:ascii="Times New Roman" w:cs="Times New Roman" w:eastAsia="Times New Roman" w:hAnsi="Times New Roman"/>
          <w:sz w:val="14"/>
          <w:szCs w:val="14"/>
          <w:color w:val="auto"/>
        </w:rPr>
        <w:t>DTC has also advised as follows: DTC is a limited purpose trust company organized under the laws of the State of New York, a “banking organization” within the meaning of the New York Banking Law, a member of the Federal Reserve,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Participants include securities brokers and dealers, banks, trust companies and clearing corporations and may include certain other organizations. Certain of such participants (or their representatives), together with other entities, own DTC. Indirect access to the DTC system is available to other entities such as banks, brokers, dealers and trust companies that clear through or maintain a custodial relationship with a participant, either directly or indirectly. The rules applicable to DTC and its direct and indirect participants are on file with the SEC.</w:t>
      </w:r>
    </w:p>
    <w:p>
      <w:pPr>
        <w:spacing w:after="0" w:line="85" w:lineRule="exact"/>
        <w:rPr>
          <w:sz w:val="20"/>
          <w:szCs w:val="20"/>
          <w:color w:val="auto"/>
        </w:rPr>
      </w:pPr>
    </w:p>
    <w:p>
      <w:pPr>
        <w:ind w:left="1380" w:right="1419" w:firstLine="275"/>
        <w:spacing w:after="0" w:line="252" w:lineRule="auto"/>
        <w:rPr>
          <w:sz w:val="20"/>
          <w:szCs w:val="20"/>
          <w:color w:val="auto"/>
        </w:rPr>
      </w:pPr>
      <w:r>
        <w:rPr>
          <w:rFonts w:ascii="Times New Roman" w:cs="Times New Roman" w:eastAsia="Times New Roman" w:hAnsi="Times New Roman"/>
          <w:sz w:val="14"/>
          <w:szCs w:val="14"/>
          <w:color w:val="auto"/>
        </w:rPr>
        <w:t>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and we and the trustee are not responsible for maintaining, supervising or reviewing any of those records.</w:t>
      </w:r>
    </w:p>
    <w:p>
      <w:pPr>
        <w:spacing w:after="0" w:line="14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Indenture Covenants</w:t>
      </w:r>
    </w:p>
    <w:p>
      <w:pPr>
        <w:spacing w:after="0" w:line="121" w:lineRule="exact"/>
        <w:rPr>
          <w:sz w:val="20"/>
          <w:szCs w:val="20"/>
          <w:color w:val="auto"/>
        </w:rPr>
      </w:pPr>
    </w:p>
    <w:p>
      <w:pPr>
        <w:ind w:left="1380" w:right="1399" w:firstLine="275"/>
        <w:spacing w:after="0" w:line="247" w:lineRule="auto"/>
        <w:rPr>
          <w:sz w:val="20"/>
          <w:szCs w:val="20"/>
          <w:color w:val="auto"/>
        </w:rPr>
      </w:pPr>
      <w:r>
        <w:rPr>
          <w:rFonts w:ascii="Times New Roman" w:cs="Times New Roman" w:eastAsia="Times New Roman" w:hAnsi="Times New Roman"/>
          <w:sz w:val="14"/>
          <w:szCs w:val="14"/>
          <w:color w:val="auto"/>
        </w:rPr>
        <w:t>The indenture contains no covenants or restrictions restricting the incurrence of indebtedness or other obligations by us or by a subsidiary of ours, including the Bank. The indenture contains no financial covenants requiring us to achieve or maintain any minimum financial results relating to our financial position or results of operations or meet or exceed any financial ratios as a general matter or in order to incur additional indebtedness or obligations or to maintain any reserves. Moreover, neither the indenture nor the notes contain any covenants limiting our right to incur additional indebtedness or obligations, grant liens on our assets to secure our indebtedness or other obligations that are senior in right of payment to the notes, repurchase our stock or other securities, including any of the notes, or pay dividends or make other distributions to our shareholders (except, subject to certain limited exceptions, in the case of dividends or other distributions; redemptions, purchases, acquisitions or liquidation payments with respect to our capital stock; and repayments, repurchases or redemptions of any debt securities that rank equal with or junior to the notes, in each case, upon the occurrence and continuance of an event of default under the indenture, including upon our failure to timely pay the principal of or interest on the notes, when the same becomes due and payable). In addition, neither the indenture nor the notes contain any provision that would provide protection to the holders of the notes against a sudden and dramatic decline in our credit quality resulting from a merger, takeover, recapitalization or similar restructuring or any other event involving us or our subsidiaries that may adversely affect our credit quality.</w:t>
      </w:r>
    </w:p>
    <w:p>
      <w:pPr>
        <w:spacing w:after="0" w:line="1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Events of Default; Right of Acceleration; Failure to Pay Principal or Interest</w:t>
      </w:r>
    </w:p>
    <w:p>
      <w:pPr>
        <w:spacing w:after="0" w:line="121" w:lineRule="exact"/>
        <w:rPr>
          <w:sz w:val="20"/>
          <w:szCs w:val="20"/>
          <w:color w:val="auto"/>
        </w:rPr>
      </w:pPr>
    </w:p>
    <w:p>
      <w:pPr>
        <w:ind w:left="1380" w:right="1439" w:firstLine="275"/>
        <w:spacing w:after="0" w:line="254" w:lineRule="auto"/>
        <w:rPr>
          <w:sz w:val="20"/>
          <w:szCs w:val="20"/>
          <w:color w:val="auto"/>
        </w:rPr>
      </w:pPr>
      <w:r>
        <w:rPr>
          <w:rFonts w:ascii="Times New Roman" w:cs="Times New Roman" w:eastAsia="Times New Roman" w:hAnsi="Times New Roman"/>
          <w:sz w:val="14"/>
          <w:szCs w:val="14"/>
          <w:color w:val="auto"/>
        </w:rPr>
        <w:t>The following are events of default under the indenture (whatever the reason for such event of default and whether it will be voluntary or involuntary or be effected by operation of law or in accordance with any judgment, decree, or order of any court or any order, rule, or regulation of any administrative or governmental body):</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2" w:name="page43"/>
    <w:bookmarkEnd w:id="42"/>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80" w:right="1579" w:hanging="134"/>
        <w:spacing w:after="0" w:line="252"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of a decree or order for relief in respect of the Company by a court having jurisdiction in the premises in an involuntary case or proceeding under any applicable bankruptcy, insolvency, or reorganization law, now or hereafter in effect of the United States or any political subdivision thereof, and such decree or order will have continued unstayed and in effect for a period of 60 consecutive days;</w:t>
      </w:r>
    </w:p>
    <w:p>
      <w:pPr>
        <w:spacing w:after="0" w:line="61" w:lineRule="exact"/>
        <w:rPr>
          <w:rFonts w:ascii="Times New Roman" w:cs="Times New Roman" w:eastAsia="Times New Roman" w:hAnsi="Times New Roman"/>
          <w:sz w:val="14"/>
          <w:szCs w:val="14"/>
          <w:color w:val="auto"/>
        </w:rPr>
      </w:pPr>
    </w:p>
    <w:p>
      <w:pPr>
        <w:jc w:val="both"/>
        <w:ind w:left="1780" w:right="1599" w:hanging="134"/>
        <w:spacing w:after="0" w:line="254"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appointment by a competent government agency having primary regulatory authority over the Bank under any applicable federal or state banking, insolvency or similar law of a receiver or the entry of a decree or order in any case or proceeding under any applicable federal or state banking, insolvency or other similar law now or hereafter in effect appointing any receiver of the Bank;</w:t>
      </w:r>
    </w:p>
    <w:p>
      <w:pPr>
        <w:spacing w:after="0" w:line="60" w:lineRule="exact"/>
        <w:rPr>
          <w:rFonts w:ascii="Times New Roman" w:cs="Times New Roman" w:eastAsia="Times New Roman" w:hAnsi="Times New Roman"/>
          <w:sz w:val="14"/>
          <w:szCs w:val="14"/>
          <w:color w:val="auto"/>
        </w:rPr>
      </w:pPr>
    </w:p>
    <w:p>
      <w:pPr>
        <w:ind w:left="1780" w:right="1399" w:hanging="134"/>
        <w:spacing w:after="0" w:line="254"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commencement by the Company of a voluntary case under any applicable bankruptcy, insolvency or reorganization law, now or hereafter in effect of the United States or any political subdivision thereof, or the consent by the Company to the entry of a decree or order for relief in an involuntary case or proceeding under any such law;</w:t>
      </w:r>
    </w:p>
    <w:p>
      <w:pPr>
        <w:spacing w:after="0" w:line="60" w:lineRule="exact"/>
        <w:rPr>
          <w:rFonts w:ascii="Times New Roman" w:cs="Times New Roman" w:eastAsia="Times New Roman" w:hAnsi="Times New Roman"/>
          <w:sz w:val="14"/>
          <w:szCs w:val="14"/>
          <w:color w:val="auto"/>
        </w:rPr>
      </w:pPr>
    </w:p>
    <w:p>
      <w:pPr>
        <w:ind w:left="1780" w:right="1459" w:hanging="134"/>
        <w:spacing w:after="0" w:line="271"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Company to pay any installment of interest on the notes as and when the same will become due and payable, and the continuation of such failure for a period of 15 days;</w:t>
      </w:r>
    </w:p>
    <w:p>
      <w:pPr>
        <w:spacing w:after="0" w:line="48" w:lineRule="exact"/>
        <w:rPr>
          <w:rFonts w:ascii="Times New Roman" w:cs="Times New Roman" w:eastAsia="Times New Roman" w:hAnsi="Times New Roman"/>
          <w:sz w:val="14"/>
          <w:szCs w:val="14"/>
          <w:color w:val="auto"/>
        </w:rPr>
      </w:pPr>
    </w:p>
    <w:p>
      <w:pPr>
        <w:ind w:left="1780" w:right="1459" w:hanging="134"/>
        <w:spacing w:after="0" w:line="271"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Company to pay all or any part of the principal of any of the notes as and when the same will become due and payable under the indenture;</w:t>
      </w:r>
    </w:p>
    <w:p>
      <w:pPr>
        <w:spacing w:after="0" w:line="48" w:lineRule="exact"/>
        <w:rPr>
          <w:rFonts w:ascii="Times New Roman" w:cs="Times New Roman" w:eastAsia="Times New Roman" w:hAnsi="Times New Roman"/>
          <w:sz w:val="14"/>
          <w:szCs w:val="14"/>
          <w:color w:val="auto"/>
        </w:rPr>
      </w:pPr>
    </w:p>
    <w:p>
      <w:pPr>
        <w:ind w:left="1780" w:right="1479" w:hanging="134"/>
        <w:spacing w:after="0" w:line="258"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of the Company (which does not include any merger, consolidation, sale of equity or assets or reorganization (exclusive of a reorganization in bankruptcy) of the Company or any of its subsidiaries);</w:t>
      </w:r>
    </w:p>
    <w:p>
      <w:pPr>
        <w:spacing w:after="0" w:line="47" w:lineRule="exact"/>
        <w:rPr>
          <w:rFonts w:ascii="Times New Roman" w:cs="Times New Roman" w:eastAsia="Times New Roman" w:hAnsi="Times New Roman"/>
          <w:sz w:val="14"/>
          <w:szCs w:val="14"/>
          <w:color w:val="auto"/>
        </w:rPr>
      </w:pPr>
    </w:p>
    <w:p>
      <w:pPr>
        <w:ind w:left="1780" w:right="1399" w:hanging="134"/>
        <w:spacing w:after="0" w:line="250"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Company to perform any other covenant or agreement on the part of the Company contained in the notes or in the indenture, and the continuation of such failure for a period of 30 days after the date on which notice specifying such failure, stating that such notice is a “Notice of Default” (as​ defined in the indenture) and demanding that the Company remedy the same, will have been given, in the manner set forth in the indenture, to the Company by the trustee, or to the Company and the trustee by the holders of at least 25% in aggregate principal amount of the notes at the time outstanding; and</w:t>
      </w:r>
    </w:p>
    <w:p>
      <w:pPr>
        <w:spacing w:after="0" w:line="62" w:lineRule="exact"/>
        <w:rPr>
          <w:rFonts w:ascii="Times New Roman" w:cs="Times New Roman" w:eastAsia="Times New Roman" w:hAnsi="Times New Roman"/>
          <w:sz w:val="14"/>
          <w:szCs w:val="14"/>
          <w:color w:val="auto"/>
        </w:rPr>
      </w:pPr>
    </w:p>
    <w:p>
      <w:pPr>
        <w:ind w:left="1780" w:right="1399" w:hanging="134"/>
        <w:spacing w:after="0" w:line="249"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default by the Company under any bond, debenture, note or other evidence of indebtedness for money owed by the Company having an aggregate principal amount of at least $25,000,000, whether such indebtedness now exists or is created or incurred in the future, which default (i) constitutes a failure to pay any portion of the principal of such indebtedness when due and payable after the expiration of any applicable grace period or (ii) results in such indebtedness becoming due or being declared due and payable prior to the date on which it otherwise would have become due and payable without, in the case of clause (i), such indebtedness having been discharged or, in the case of clause (ii) without such indebtedness having been discharged or such acceleration having been rescinded or annulled.</w:t>
      </w:r>
    </w:p>
    <w:p>
      <w:pPr>
        <w:spacing w:after="0" w:line="94" w:lineRule="exact"/>
        <w:rPr>
          <w:sz w:val="20"/>
          <w:szCs w:val="20"/>
          <w:color w:val="auto"/>
        </w:rPr>
      </w:pPr>
    </w:p>
    <w:p>
      <w:pPr>
        <w:ind w:left="1380" w:right="1479" w:firstLine="275"/>
        <w:spacing w:after="0" w:line="239" w:lineRule="auto"/>
        <w:rPr>
          <w:sz w:val="20"/>
          <w:szCs w:val="20"/>
          <w:color w:val="auto"/>
        </w:rPr>
      </w:pPr>
      <w:r>
        <w:rPr>
          <w:rFonts w:ascii="Times New Roman" w:cs="Times New Roman" w:eastAsia="Times New Roman" w:hAnsi="Times New Roman"/>
          <w:sz w:val="14"/>
          <w:szCs w:val="14"/>
          <w:color w:val="auto"/>
        </w:rPr>
        <w:t>If an event of default with respect to the notes occurs due to a bankruptcy or receivership event, then the principal amount of all of the outstanding notes, and accrued and unpaid interest, if any, on all outstanding notes will become and be immediately due and payable without any declaration or other act on the part of the trustee or any holder, and the Company waives demand, presentment for payment, notice of nonpayment, notice of protest, and all other notices with respect to such event of default. Notwithstanding the foregoing, because the Company will treat the notes as Tier 2 Capital, upon the occurrence of an event of default other than the events of default described in the foregoing sentence, neither the trustee nor any holder may accelerate the maturity of the notes and make the principal of, and any accrued and unpaid interest on, the notes, immediately due and payable.</w:t>
      </w:r>
    </w:p>
    <w:p>
      <w:pPr>
        <w:spacing w:after="0" w:line="92" w:lineRule="exact"/>
        <w:rPr>
          <w:sz w:val="20"/>
          <w:szCs w:val="20"/>
          <w:color w:val="auto"/>
        </w:rPr>
      </w:pPr>
    </w:p>
    <w:p>
      <w:pPr>
        <w:ind w:left="1380" w:right="1399" w:firstLine="275"/>
        <w:spacing w:after="0" w:line="238" w:lineRule="auto"/>
        <w:rPr>
          <w:sz w:val="20"/>
          <w:szCs w:val="20"/>
          <w:color w:val="auto"/>
        </w:rPr>
      </w:pPr>
      <w:r>
        <w:rPr>
          <w:rFonts w:ascii="Times New Roman" w:cs="Times New Roman" w:eastAsia="Times New Roman" w:hAnsi="Times New Roman"/>
          <w:sz w:val="14"/>
          <w:szCs w:val="14"/>
          <w:color w:val="auto"/>
        </w:rPr>
        <w:t>Under the indenture, if the Company fails to make any payment of interest on any note when such interest becomes due and payable and such default continues for a period of 15 days, if the Company fails to make any payment of the principal of any note when such principal becomes due and payable, or upon the liquidation of the Company, the trustee may, subject to certain limitations and conditions, demand, for the benefit of the holders of the notes, that the Company pay to the trustee, for the benefit of the holders of the notes, the whole amount then due and payable with respect to the notes, with interest upon the overdue</w:t>
      </w: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3" w:name="page44"/>
    <w:bookmarkEnd w:id="43"/>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499"/>
        <w:spacing w:after="0" w:line="249" w:lineRule="auto"/>
        <w:rPr>
          <w:sz w:val="20"/>
          <w:szCs w:val="20"/>
          <w:color w:val="auto"/>
        </w:rPr>
      </w:pPr>
      <w:r>
        <w:rPr>
          <w:rFonts w:ascii="Times New Roman" w:cs="Times New Roman" w:eastAsia="Times New Roman" w:hAnsi="Times New Roman"/>
          <w:sz w:val="14"/>
          <w:szCs w:val="14"/>
          <w:color w:val="auto"/>
        </w:rPr>
        <w:t>principal, and, to the extent permitted by applicable law, upon any overdue installments of interest at the rate or respective rates, as the case may be, provided for or with respect to the notes or, if no such rate or rates are so provided, at the rate or respective rates, as the case may be, of interest borne by the notes. Any such rights to receive payment of such amounts under the notes remain subject to the subordination provisions of the notes as discussed above under “— Subordination.” Neither the trustee nor the holders of the notes will have the right to accelerate the maturity of the notes in the case of our failure to pay the principal of, or interest on, the notes or our non-performance of any other covenant or warranty under the notes or the indenture.</w:t>
      </w:r>
    </w:p>
    <w:p>
      <w:pPr>
        <w:spacing w:after="0" w:line="31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Amendment, Supplement and Waiver</w:t>
      </w:r>
    </w:p>
    <w:p>
      <w:pPr>
        <w:spacing w:after="0" w:line="121" w:lineRule="exact"/>
        <w:rPr>
          <w:sz w:val="20"/>
          <w:szCs w:val="20"/>
          <w:color w:val="auto"/>
        </w:rPr>
      </w:pPr>
    </w:p>
    <w:p>
      <w:pPr>
        <w:ind w:left="1380" w:right="1479" w:firstLine="275"/>
        <w:spacing w:after="0" w:line="271" w:lineRule="auto"/>
        <w:rPr>
          <w:sz w:val="20"/>
          <w:szCs w:val="20"/>
          <w:color w:val="auto"/>
        </w:rPr>
      </w:pPr>
      <w:r>
        <w:rPr>
          <w:rFonts w:ascii="Times New Roman" w:cs="Times New Roman" w:eastAsia="Times New Roman" w:hAnsi="Times New Roman"/>
          <w:sz w:val="14"/>
          <w:szCs w:val="14"/>
          <w:color w:val="auto"/>
        </w:rPr>
        <w:t>Without the consent of any holder of notes, we and the trustee, at any time and from time to time, may enter into one or more indentures supplemental to the indenture for any of the following purposes:</w:t>
      </w:r>
    </w:p>
    <w:p>
      <w:pPr>
        <w:spacing w:after="0" w:line="49" w:lineRule="exact"/>
        <w:rPr>
          <w:sz w:val="20"/>
          <w:szCs w:val="20"/>
          <w:color w:val="auto"/>
        </w:rPr>
      </w:pPr>
    </w:p>
    <w:p>
      <w:pPr>
        <w:ind w:left="1780" w:right="1939" w:hanging="134"/>
        <w:spacing w:after="0" w:line="271" w:lineRule="auto"/>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 succession of another person to the Company, and the assumption by any such successor of our covenants contained in the indenture and the notes;</w:t>
      </w:r>
    </w:p>
    <w:p>
      <w:pPr>
        <w:spacing w:after="0" w:line="58" w:lineRule="exact"/>
        <w:rPr>
          <w:rFonts w:ascii="Times New Roman" w:cs="Times New Roman" w:eastAsia="Times New Roman" w:hAnsi="Times New Roman"/>
          <w:sz w:val="14"/>
          <w:szCs w:val="14"/>
          <w:color w:val="auto"/>
        </w:rPr>
      </w:pPr>
    </w:p>
    <w:p>
      <w:pPr>
        <w:ind w:left="1780" w:right="1599" w:hanging="134"/>
        <w:spacing w:after="0" w:line="271" w:lineRule="auto"/>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for the benefit of the holders, or to surrender any right or power conferred upon us with respect to the notes issued under the indenture;</w:t>
      </w:r>
    </w:p>
    <w:p>
      <w:pPr>
        <w:spacing w:after="0" w:line="58" w:lineRule="exact"/>
        <w:rPr>
          <w:rFonts w:ascii="Times New Roman" w:cs="Times New Roman" w:eastAsia="Times New Roman" w:hAnsi="Times New Roman"/>
          <w:sz w:val="14"/>
          <w:szCs w:val="14"/>
          <w:color w:val="auto"/>
        </w:rPr>
      </w:pPr>
    </w:p>
    <w:p>
      <w:pPr>
        <w:ind w:left="1780" w:right="1419" w:hanging="134"/>
        <w:spacing w:after="0" w:line="271" w:lineRule="auto"/>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permit or facilitate the issuance of notes in uncertificated or global form, provided any such action will not adversely affect the interests of the holders;</w:t>
      </w:r>
    </w:p>
    <w:p>
      <w:pPr>
        <w:spacing w:after="0" w:line="48" w:lineRule="exact"/>
        <w:rPr>
          <w:rFonts w:ascii="Times New Roman" w:cs="Times New Roman" w:eastAsia="Times New Roman" w:hAnsi="Times New Roman"/>
          <w:sz w:val="14"/>
          <w:szCs w:val="14"/>
          <w:color w:val="auto"/>
        </w:rPr>
      </w:pPr>
    </w:p>
    <w:p>
      <w:pPr>
        <w:jc w:val="both"/>
        <w:ind w:left="1780" w:right="1419" w:hanging="134"/>
        <w:spacing w:after="0" w:line="258" w:lineRule="auto"/>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the indenture by a successor trustee with respect to the notes and to add to or change any provisions of the indenture as will be necessary to provide for or facilitate the administration of the trusts hereunder by more than one trustee;</w:t>
      </w:r>
    </w:p>
    <w:p>
      <w:pPr>
        <w:spacing w:after="0" w:line="68" w:lineRule="exact"/>
        <w:rPr>
          <w:rFonts w:ascii="Times New Roman" w:cs="Times New Roman" w:eastAsia="Times New Roman" w:hAnsi="Times New Roman"/>
          <w:sz w:val="14"/>
          <w:szCs w:val="14"/>
          <w:color w:val="auto"/>
        </w:rPr>
      </w:pPr>
    </w:p>
    <w:p>
      <w:pPr>
        <w:ind w:left="1780" w:right="1899" w:hanging="134"/>
        <w:spacing w:after="0" w:line="271" w:lineRule="auto"/>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or to correct or supplement any provision of the indenture that may be defective or that may be inconsistent with any other provision of the indenture;</w:t>
      </w:r>
    </w:p>
    <w:p>
      <w:pPr>
        <w:spacing w:after="0" w:line="58" w:lineRule="exact"/>
        <w:rPr>
          <w:rFonts w:ascii="Times New Roman" w:cs="Times New Roman" w:eastAsia="Times New Roman" w:hAnsi="Times New Roman"/>
          <w:sz w:val="14"/>
          <w:szCs w:val="14"/>
          <w:color w:val="auto"/>
        </w:rPr>
      </w:pPr>
    </w:p>
    <w:p>
      <w:pPr>
        <w:ind w:left="1780" w:right="1639" w:hanging="134"/>
        <w:spacing w:after="0" w:line="271" w:lineRule="auto"/>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other provisions with respect to matters or questions arising under the indenture that will not adversely affect the interests of the holders of the notes;</w:t>
      </w:r>
    </w:p>
    <w:p>
      <w:pPr>
        <w:spacing w:after="0" w:line="48"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additional events of default (as will be specified in such supplemental indenture);</w:t>
      </w:r>
    </w:p>
    <w:p>
      <w:pPr>
        <w:spacing w:after="0" w:line="96" w:lineRule="exact"/>
        <w:rPr>
          <w:rFonts w:ascii="Times New Roman" w:cs="Times New Roman" w:eastAsia="Times New Roman" w:hAnsi="Times New Roman"/>
          <w:sz w:val="14"/>
          <w:szCs w:val="14"/>
          <w:color w:val="auto"/>
        </w:rPr>
      </w:pPr>
    </w:p>
    <w:p>
      <w:pPr>
        <w:ind w:left="1780" w:right="1559" w:hanging="134"/>
        <w:spacing w:after="0" w:line="258" w:lineRule="auto"/>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supplement any of the provisions of the indenture as necessary to permit or facilitate legal or covenant defeasance, or satisfaction and discharge of the notes, as long as any such action will not adversely affect the interests of any holder;</w:t>
      </w:r>
    </w:p>
    <w:p>
      <w:pPr>
        <w:spacing w:after="0" w:line="57"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exchange notes;</w:t>
      </w:r>
    </w:p>
    <w:p>
      <w:pPr>
        <w:spacing w:after="0" w:line="96"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any provision of the indenture to the requirements of the Trust Indenture Act; or</w:t>
      </w:r>
    </w:p>
    <w:p>
      <w:pPr>
        <w:spacing w:after="0" w:line="96"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legal rights under the indenture of any holder.</w:t>
      </w:r>
    </w:p>
    <w:p>
      <w:pPr>
        <w:spacing w:after="0" w:line="107" w:lineRule="exact"/>
        <w:rPr>
          <w:sz w:val="20"/>
          <w:szCs w:val="20"/>
          <w:color w:val="auto"/>
        </w:rPr>
      </w:pPr>
    </w:p>
    <w:p>
      <w:pPr>
        <w:ind w:left="1380" w:right="1399" w:firstLine="275"/>
        <w:spacing w:after="0" w:line="249" w:lineRule="auto"/>
        <w:rPr>
          <w:sz w:val="20"/>
          <w:szCs w:val="20"/>
          <w:color w:val="auto"/>
        </w:rPr>
      </w:pPr>
      <w:r>
        <w:rPr>
          <w:rFonts w:ascii="Times New Roman" w:cs="Times New Roman" w:eastAsia="Times New Roman" w:hAnsi="Times New Roman"/>
          <w:sz w:val="14"/>
          <w:szCs w:val="14"/>
          <w:color w:val="auto"/>
        </w:rPr>
        <w:t>With the consent of the holders of not less than a majority in principal amount of the outstanding notes, we and the trustee may enter into an indenture or indentures supplemental to the indenture for the purpose of adding any provisions to or changing in any manner or eliminating any of the provisions of the indenture or the notes or of modifying in any manner the rights of the holders under the indenture; provided, that for the avoidance of doubt, the New Notes and Old Notes will vote and consent together on all matters (as to which such New Notes and Old Notes may vote or consent) as a single class and shall constitute a single series issued under the indenture; provided further, that no such supplemental indenture, without the consent of the holder of each outstanding note affected thereby, will:</w:t>
      </w:r>
    </w:p>
    <w:p>
      <w:pPr>
        <w:spacing w:after="0" w:line="75" w:lineRule="exact"/>
        <w:rPr>
          <w:sz w:val="20"/>
          <w:szCs w:val="20"/>
          <w:color w:val="auto"/>
        </w:rPr>
      </w:pPr>
    </w:p>
    <w:p>
      <w:pPr>
        <w:ind w:left="1780" w:hanging="134"/>
        <w:spacing w:after="0"/>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change the time for payment of, interest on any note;</w:t>
      </w:r>
    </w:p>
    <w:p>
      <w:pPr>
        <w:spacing w:after="0" w:line="86" w:lineRule="exact"/>
        <w:rPr>
          <w:rFonts w:ascii="Times New Roman" w:cs="Times New Roman" w:eastAsia="Times New Roman" w:hAnsi="Times New Roman"/>
          <w:sz w:val="14"/>
          <w:szCs w:val="14"/>
          <w:color w:val="auto"/>
        </w:rPr>
      </w:pPr>
    </w:p>
    <w:p>
      <w:pPr>
        <w:ind w:left="1780" w:right="1479" w:hanging="134"/>
        <w:spacing w:after="0" w:line="258" w:lineRule="auto"/>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change the stated maturity of any note, change the date on which any note may be subject to redemption, or reduce the price at which any note subject to redemption may be redeemed;</w:t>
      </w:r>
    </w:p>
    <w:p>
      <w:pPr>
        <w:spacing w:after="0" w:line="68"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note payable in money other than dollars;</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4" w:name="page45"/>
    <w:bookmarkEnd w:id="44"/>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80" w:right="1559" w:hanging="134"/>
        <w:spacing w:after="0" w:line="258" w:lineRule="auto"/>
        <w:tabs>
          <w:tab w:leader="none" w:pos="1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provisions of the indenture protecting the right of each holder to receive payment of principal of and interest on such note on or after the due date thereof or to bring suit to enforce such payment;</w:t>
      </w:r>
    </w:p>
    <w:p>
      <w:pPr>
        <w:spacing w:after="0" w:line="57" w:lineRule="exact"/>
        <w:rPr>
          <w:rFonts w:ascii="Times New Roman" w:cs="Times New Roman" w:eastAsia="Times New Roman" w:hAnsi="Times New Roman"/>
          <w:sz w:val="14"/>
          <w:szCs w:val="14"/>
          <w:color w:val="auto"/>
        </w:rPr>
      </w:pPr>
    </w:p>
    <w:p>
      <w:pPr>
        <w:ind w:left="1780" w:right="1439" w:hanging="134"/>
        <w:spacing w:after="0" w:line="271" w:lineRule="auto"/>
        <w:tabs>
          <w:tab w:leader="none" w:pos="1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threshold of holders the consent of whom is required for any such supplemental indenture or required to waive certain defaults and covenants under the indenture; or</w:t>
      </w:r>
    </w:p>
    <w:p>
      <w:pPr>
        <w:spacing w:after="0" w:line="48" w:lineRule="exact"/>
        <w:rPr>
          <w:rFonts w:ascii="Times New Roman" w:cs="Times New Roman" w:eastAsia="Times New Roman" w:hAnsi="Times New Roman"/>
          <w:sz w:val="14"/>
          <w:szCs w:val="14"/>
          <w:color w:val="auto"/>
        </w:rPr>
      </w:pPr>
    </w:p>
    <w:p>
      <w:pPr>
        <w:ind w:left="1780" w:right="1439" w:hanging="134"/>
        <w:spacing w:after="0" w:line="252" w:lineRule="auto"/>
        <w:tabs>
          <w:tab w:leader="none" w:pos="1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provisions of the section of the indenture governing supplemental indentures with the consent of holders, or those provisions relating to waiver of defaults or certain covenants, except to increase any such percentage required for such actions or to provide that certain other provisions of the indenture cannot be modified or waived without the consent of the holder of each outstanding note affected thereby.</w:t>
      </w:r>
    </w:p>
    <w:p>
      <w:pPr>
        <w:spacing w:after="0" w:line="93" w:lineRule="exact"/>
        <w:rPr>
          <w:sz w:val="20"/>
          <w:szCs w:val="20"/>
          <w:color w:val="auto"/>
        </w:rPr>
      </w:pPr>
    </w:p>
    <w:p>
      <w:pPr>
        <w:jc w:val="both"/>
        <w:ind w:left="1380" w:right="1399" w:firstLine="275"/>
        <w:spacing w:after="0" w:line="252" w:lineRule="auto"/>
        <w:rPr>
          <w:sz w:val="20"/>
          <w:szCs w:val="20"/>
          <w:color w:val="auto"/>
        </w:rPr>
      </w:pPr>
      <w:r>
        <w:rPr>
          <w:rFonts w:ascii="Times New Roman" w:cs="Times New Roman" w:eastAsia="Times New Roman" w:hAnsi="Times New Roman"/>
          <w:sz w:val="14"/>
          <w:szCs w:val="14"/>
          <w:color w:val="auto"/>
        </w:rPr>
        <w:t>The holders of not less than a majority in aggregate principal amount of the outstanding notes may on behalf of the holders of all notes waive any past default under the indenture and its consequences, except a default in the payment of the principal of or interest on any note, or in respect of a covenant or provision of the indenture under which the indenture cannot be modified or amended without the consent of the holder of each outstanding note.</w:t>
      </w:r>
    </w:p>
    <w:p>
      <w:pPr>
        <w:spacing w:after="0" w:line="14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Satisfaction and Discharge of the Indenture; Defeasance</w:t>
      </w:r>
    </w:p>
    <w:p>
      <w:pPr>
        <w:spacing w:after="0" w:line="12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We may terminate our obligations under the indenture when:</w:t>
      </w:r>
    </w:p>
    <w:p>
      <w:pPr>
        <w:spacing w:after="0" w:line="86" w:lineRule="exact"/>
        <w:rPr>
          <w:sz w:val="20"/>
          <w:szCs w:val="20"/>
          <w:color w:val="auto"/>
        </w:rPr>
      </w:pPr>
    </w:p>
    <w:p>
      <w:pPr>
        <w:ind w:left="1780" w:right="1459" w:hanging="134"/>
        <w:spacing w:after="0" w:line="249"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(1) all notes that have been authenticated and delivered have been delivered to the trustee for cancellation, or (2) all notes that have not been delivered to the trustee for cancellation (i) have become due and payable or (ii) will become due and payable at their stated maturity within one year or (iii) if redeemable at the option of the Company, are to be called for redemption within one year under arrangements satisfactory to the trustee for the giving of notice of redemption by the trustee, and in the case of the foregoing clause 2(i), 2(ii) or 2(iii), we have deposited or caused to be deposited with the trustee immediately available funds in an amount sufficient to pay and discharge the entire indebtedness on the outstanding notes;</w:t>
      </w:r>
    </w:p>
    <w:p>
      <w:pPr>
        <w:spacing w:after="0" w:line="65" w:lineRule="exact"/>
        <w:rPr>
          <w:rFonts w:ascii="Times New Roman" w:cs="Times New Roman" w:eastAsia="Times New Roman" w:hAnsi="Times New Roman"/>
          <w:sz w:val="14"/>
          <w:szCs w:val="14"/>
          <w:color w:val="auto"/>
        </w:rPr>
      </w:pPr>
    </w:p>
    <w:p>
      <w:pPr>
        <w:ind w:left="1780" w:right="1399" w:hanging="134"/>
        <w:spacing w:after="0" w:line="271"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then due and payable by us under the indenture with respect to the notes; and</w:t>
      </w:r>
    </w:p>
    <w:p>
      <w:pPr>
        <w:spacing w:after="0" w:line="48" w:lineRule="exact"/>
        <w:rPr>
          <w:rFonts w:ascii="Times New Roman" w:cs="Times New Roman" w:eastAsia="Times New Roman" w:hAnsi="Times New Roman"/>
          <w:sz w:val="14"/>
          <w:szCs w:val="14"/>
          <w:color w:val="auto"/>
        </w:rPr>
      </w:pPr>
    </w:p>
    <w:p>
      <w:pPr>
        <w:ind w:left="1780" w:right="1379" w:hanging="134"/>
        <w:spacing w:after="0" w:line="258"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of counsel, each stating that all conditions precedent under the indenture relating to the satisfaction and discharge of the indenture have been satisfied.</w:t>
      </w:r>
    </w:p>
    <w:p>
      <w:pPr>
        <w:spacing w:after="0" w:line="78" w:lineRule="exact"/>
        <w:rPr>
          <w:sz w:val="20"/>
          <w:szCs w:val="20"/>
          <w:color w:val="auto"/>
        </w:rPr>
      </w:pPr>
    </w:p>
    <w:p>
      <w:pPr>
        <w:ind w:left="1380" w:right="1419" w:firstLine="275"/>
        <w:spacing w:after="0" w:line="258" w:lineRule="auto"/>
        <w:rPr>
          <w:sz w:val="20"/>
          <w:szCs w:val="20"/>
          <w:color w:val="auto"/>
        </w:rPr>
      </w:pPr>
      <w:r>
        <w:rPr>
          <w:rFonts w:ascii="Times New Roman" w:cs="Times New Roman" w:eastAsia="Times New Roman" w:hAnsi="Times New Roman"/>
          <w:sz w:val="14"/>
          <w:szCs w:val="14"/>
          <w:color w:val="auto"/>
        </w:rPr>
        <w:t>We may elect, at our option and at any time, to have our obligations discharged with respect to the outstanding notes, which we refer to as legal defeasance. Legal defeasance means that we will be deemed to have paid and discharged the entire indebtedness represented by the outstanding notes, except for:</w:t>
      </w:r>
    </w:p>
    <w:p>
      <w:pPr>
        <w:spacing w:after="0" w:line="58" w:lineRule="exact"/>
        <w:rPr>
          <w:sz w:val="20"/>
          <w:szCs w:val="20"/>
          <w:color w:val="auto"/>
        </w:rPr>
      </w:pPr>
    </w:p>
    <w:p>
      <w:pPr>
        <w:ind w:left="1780" w:right="1499" w:hanging="134"/>
        <w:spacing w:after="0" w:line="271" w:lineRule="auto"/>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the holders of such notes to receive payments in respect of the principal of and interest on such notes when payments are due;</w:t>
      </w:r>
    </w:p>
    <w:p>
      <w:pPr>
        <w:spacing w:after="0" w:line="48" w:lineRule="exact"/>
        <w:rPr>
          <w:rFonts w:ascii="Times New Roman" w:cs="Times New Roman" w:eastAsia="Times New Roman" w:hAnsi="Times New Roman"/>
          <w:sz w:val="14"/>
          <w:szCs w:val="14"/>
          <w:color w:val="auto"/>
        </w:rPr>
      </w:pPr>
    </w:p>
    <w:p>
      <w:pPr>
        <w:ind w:left="1780" w:right="1379" w:hanging="134"/>
        <w:spacing w:after="0" w:line="258" w:lineRule="auto"/>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obligations and the obligations of the trustee with respect to such notes concerning registration of notes, mutilated, destroyed, lost or stolen notes and the maintenance of an office or agency for payment and money for payments on the notes to be held in trust;</w:t>
      </w:r>
    </w:p>
    <w:p>
      <w:pPr>
        <w:spacing w:after="0" w:line="57"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powers, trusts, duties and immunities of the trustee under the indenture; and</w:t>
      </w:r>
    </w:p>
    <w:p>
      <w:pPr>
        <w:spacing w:after="0" w:line="86"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defeasance provisions and the application of trust money provisions of the indenture.</w:t>
      </w:r>
    </w:p>
    <w:p>
      <w:pPr>
        <w:spacing w:after="0" w:line="117" w:lineRule="exact"/>
        <w:rPr>
          <w:sz w:val="20"/>
          <w:szCs w:val="20"/>
          <w:color w:val="auto"/>
        </w:rPr>
      </w:pPr>
    </w:p>
    <w:p>
      <w:pPr>
        <w:ind w:left="1380" w:right="1579" w:firstLine="275"/>
        <w:spacing w:after="0" w:line="254" w:lineRule="auto"/>
        <w:rPr>
          <w:sz w:val="20"/>
          <w:szCs w:val="20"/>
          <w:color w:val="auto"/>
        </w:rPr>
      </w:pPr>
      <w:r>
        <w:rPr>
          <w:rFonts w:ascii="Times New Roman" w:cs="Times New Roman" w:eastAsia="Times New Roman" w:hAnsi="Times New Roman"/>
          <w:sz w:val="14"/>
          <w:szCs w:val="14"/>
          <w:color w:val="auto"/>
        </w:rPr>
        <w:t>In addition, we may elect, at our option, to have our obligations released with respect to certain covenants contained in the indenture, which is also called covenant defeasance. In the event covenant defeasance occurs, certain events (not including non-payment, bankruptcy and insolvency events) will no longer constitute an event of default with respect to the notes.</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5" w:name="page46"/>
    <w:bookmarkEnd w:id="45"/>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In order to exercise either legal defeasance or covenant defeasance with respect to outstanding notes:</w:t>
      </w:r>
    </w:p>
    <w:p>
      <w:pPr>
        <w:spacing w:after="0" w:line="86" w:lineRule="exact"/>
        <w:rPr>
          <w:sz w:val="20"/>
          <w:szCs w:val="20"/>
          <w:color w:val="auto"/>
        </w:rPr>
      </w:pPr>
    </w:p>
    <w:p>
      <w:pPr>
        <w:ind w:left="1780" w:right="1399" w:hanging="134"/>
        <w:spacing w:after="0" w:line="249"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irrevocably have deposited or caused to be deposited with the trustee as trust funds in trust for the purpose of making the following payments, specifically pledged as security for, and dedicated solely to the benefit of the holders of such notes, (i) an amount in dollars, (ii) U.S. government obligations that through the scheduled payment of principal and interest in respect thereof in accordance with their terms will provide, not later than one day before the due date of any payment on the notes, money, or (iii) a combination thereof, in each case, in an amount, sufficient to pay and discharge, and which will be applied by the trustee to pay and discharge, the entire indebtedness in respect of the principal of and interest on the notes on the stated maturity thereof or, with respect to notes called for redemption, on the redemption date thereof;</w:t>
      </w:r>
    </w:p>
    <w:p>
      <w:pPr>
        <w:spacing w:after="0" w:line="63" w:lineRule="exact"/>
        <w:rPr>
          <w:rFonts w:ascii="Times New Roman" w:cs="Times New Roman" w:eastAsia="Times New Roman" w:hAnsi="Times New Roman"/>
          <w:sz w:val="14"/>
          <w:szCs w:val="14"/>
          <w:color w:val="auto"/>
        </w:rPr>
      </w:pPr>
    </w:p>
    <w:p>
      <w:pPr>
        <w:ind w:left="1780" w:right="1379" w:hanging="134"/>
        <w:spacing w:after="0" w:line="252"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of default, or event which with notice or lapse of time or both would become an event of default with respect to the outstanding notes will have occurred and be continuing on the date of such deposit referred to in the first bullet point above (and in the case of legal defeasance will have occurred and be continuing at any time during the period ending on and including the 91st day after the date of such deposit);</w:t>
      </w:r>
    </w:p>
    <w:p>
      <w:pPr>
        <w:spacing w:after="0" w:line="51" w:lineRule="exact"/>
        <w:rPr>
          <w:rFonts w:ascii="Times New Roman" w:cs="Times New Roman" w:eastAsia="Times New Roman" w:hAnsi="Times New Roman"/>
          <w:sz w:val="14"/>
          <w:szCs w:val="14"/>
          <w:color w:val="auto"/>
        </w:rPr>
      </w:pPr>
    </w:p>
    <w:p>
      <w:pPr>
        <w:ind w:left="1780" w:right="1399" w:hanging="134"/>
        <w:spacing w:after="0" w:line="249"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legal defeasance, we must have delivered to the trustee an opinion of counsel stating that (i) we have received from, or there has been published by, the Internal Revenue Service a ruling or (ii) since the date of the indenture there has been a change in the applicable U.S. federal income tax law, in either case to the effect that, and based thereon such opinion will confirm that, the holders of the notes will not recognize income, gain or loss for U.S. federal income tax purposes as a result of such legal defeasance to be effected with respect to such notes and will be subject to U.S. federal income tax on the same amounts, in the same manner and at the same times as would be the case if such legal defeasance had not occurred;</w:t>
      </w:r>
    </w:p>
    <w:p>
      <w:pPr>
        <w:spacing w:after="0" w:line="65" w:lineRule="exact"/>
        <w:rPr>
          <w:rFonts w:ascii="Times New Roman" w:cs="Times New Roman" w:eastAsia="Times New Roman" w:hAnsi="Times New Roman"/>
          <w:sz w:val="14"/>
          <w:szCs w:val="14"/>
          <w:color w:val="auto"/>
        </w:rPr>
      </w:pPr>
    </w:p>
    <w:p>
      <w:pPr>
        <w:ind w:left="1780" w:right="1379" w:hanging="134"/>
        <w:spacing w:after="0" w:line="252"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covenant defeasance, we must have delivered to the trustee an opinion of counsel to the effect that the holders of the outstanding notes will not recognize income, gain or loss for U.S. federal income tax purposes as a result of such covenant defeasance to be effected with respect to the notes and will be subject to U.S. federal income tax on the same amount, in the same manner and at the same times as would be the case if such covenant defeasance had not occurred;</w:t>
      </w:r>
    </w:p>
    <w:p>
      <w:pPr>
        <w:spacing w:after="0" w:line="61" w:lineRule="exact"/>
        <w:rPr>
          <w:rFonts w:ascii="Times New Roman" w:cs="Times New Roman" w:eastAsia="Times New Roman" w:hAnsi="Times New Roman"/>
          <w:sz w:val="14"/>
          <w:szCs w:val="14"/>
          <w:color w:val="auto"/>
        </w:rPr>
      </w:pPr>
    </w:p>
    <w:p>
      <w:pPr>
        <w:ind w:left="1780" w:right="1439" w:hanging="134"/>
        <w:spacing w:after="0" w:line="258"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legal defeasance or covenant defeasance will not result in a breach or violation of, or constitute a default under, the indenture or any other material agreement or instrument to which we or our subsidiaries are a party or by which we or our subsidiaries are bound; and</w:t>
      </w:r>
    </w:p>
    <w:p>
      <w:pPr>
        <w:spacing w:after="0" w:line="47" w:lineRule="exact"/>
        <w:rPr>
          <w:rFonts w:ascii="Times New Roman" w:cs="Times New Roman" w:eastAsia="Times New Roman" w:hAnsi="Times New Roman"/>
          <w:sz w:val="14"/>
          <w:szCs w:val="14"/>
          <w:color w:val="auto"/>
        </w:rPr>
      </w:pPr>
    </w:p>
    <w:p>
      <w:pPr>
        <w:ind w:left="1780" w:right="1439" w:hanging="134"/>
        <w:spacing w:after="0" w:line="258"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have delivered to the trustee an officers’ certificate and an opinion of counsel, each stating that all conditions precedent with respect to such legal defeasance or covenant defeasance have been satisfied.</w:t>
      </w:r>
    </w:p>
    <w:p>
      <w:pPr>
        <w:spacing w:after="0" w:line="89" w:lineRule="exact"/>
        <w:rPr>
          <w:sz w:val="20"/>
          <w:szCs w:val="20"/>
          <w:color w:val="auto"/>
        </w:rPr>
      </w:pPr>
    </w:p>
    <w:p>
      <w:pPr>
        <w:ind w:left="1380" w:right="1539" w:firstLine="275"/>
        <w:spacing w:after="0" w:line="251" w:lineRule="auto"/>
        <w:rPr>
          <w:sz w:val="20"/>
          <w:szCs w:val="20"/>
          <w:color w:val="auto"/>
        </w:rPr>
      </w:pPr>
      <w:r>
        <w:rPr>
          <w:rFonts w:ascii="Times New Roman" w:cs="Times New Roman" w:eastAsia="Times New Roman" w:hAnsi="Times New Roman"/>
          <w:sz w:val="14"/>
          <w:szCs w:val="14"/>
          <w:color w:val="auto"/>
        </w:rPr>
        <w:t>In connection with a discharge or defeasance, in the event the trustee is unable to apply the moneys deposited as contemplated under the satisfaction and discharge provisions of the indenture for any reason, our obligations under the indenture and the notes will be revived as if the deposit had never occurred.</w:t>
      </w:r>
    </w:p>
    <w:p>
      <w:pPr>
        <w:spacing w:after="0" w:line="13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Effect of Benchmark Transition Event</w:t>
      </w:r>
    </w:p>
    <w:p>
      <w:pPr>
        <w:spacing w:after="0" w:line="117" w:lineRule="exact"/>
        <w:rPr>
          <w:sz w:val="20"/>
          <w:szCs w:val="20"/>
          <w:color w:val="auto"/>
        </w:rPr>
      </w:pPr>
    </w:p>
    <w:p>
      <w:pPr>
        <w:ind w:left="1380" w:right="1479" w:firstLine="275"/>
        <w:spacing w:after="0" w:line="242" w:lineRule="auto"/>
        <w:rPr>
          <w:sz w:val="20"/>
          <w:szCs w:val="20"/>
          <w:color w:val="auto"/>
        </w:rPr>
      </w:pPr>
      <w:r>
        <w:rPr>
          <w:rFonts w:ascii="Times New Roman" w:cs="Times New Roman" w:eastAsia="Times New Roman" w:hAnsi="Times New Roman"/>
          <w:sz w:val="14"/>
          <w:szCs w:val="14"/>
          <w:i w:val="1"/>
          <w:iCs w:val="1"/>
          <w:color w:val="auto"/>
        </w:rPr>
        <w:t>Benchmark Replacement</w:t>
      </w:r>
      <w:r>
        <w:rPr>
          <w:rFonts w:ascii="Times New Roman" w:cs="Times New Roman" w:eastAsia="Times New Roman" w:hAnsi="Times New Roman"/>
          <w:sz w:val="14"/>
          <w:szCs w:val="14"/>
          <w:color w:val="auto"/>
        </w:rPr>
        <w:t>. If the calculation agent determines that a Benchmark Transition Event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related Benchmark Replacement Date have occurred on or prior to the Reference Time in respect of any determination of the Benchmark on any date, the Benchmark Replacement will replace the then-current Benchmark for all purposes relating to the notes during the relevant Floating Interest Period in respect of such determination on such date and all determinations on all subsequent dates.</w:t>
      </w:r>
    </w:p>
    <w:p>
      <w:pPr>
        <w:spacing w:after="0" w:line="85" w:lineRule="exact"/>
        <w:rPr>
          <w:sz w:val="20"/>
          <w:szCs w:val="20"/>
          <w:color w:val="auto"/>
        </w:rPr>
      </w:pPr>
    </w:p>
    <w:p>
      <w:pPr>
        <w:ind w:left="1380" w:right="1559" w:firstLine="275"/>
        <w:spacing w:after="0" w:line="254" w:lineRule="auto"/>
        <w:rPr>
          <w:sz w:val="20"/>
          <w:szCs w:val="20"/>
          <w:color w:val="auto"/>
        </w:rPr>
      </w:pPr>
      <w:r>
        <w:rPr>
          <w:rFonts w:ascii="Times New Roman" w:cs="Times New Roman" w:eastAsia="Times New Roman" w:hAnsi="Times New Roman"/>
          <w:sz w:val="14"/>
          <w:szCs w:val="14"/>
          <w:i w:val="1"/>
          <w:iCs w:val="1"/>
          <w:color w:val="auto"/>
        </w:rPr>
        <w:t>Benchmark Replacement Conforming Changes</w:t>
      </w:r>
      <w:r>
        <w:rPr>
          <w:rFonts w:ascii="Times New Roman" w:cs="Times New Roman" w:eastAsia="Times New Roman" w:hAnsi="Times New Roman"/>
          <w:sz w:val="14"/>
          <w:szCs w:val="14"/>
          <w:color w:val="auto"/>
        </w:rPr>
        <w:t>. In connection with the implementation of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Benchmark Replacement, the Company will have the right to make Benchmark Replacement Conforming Changes from time to time.</w:t>
      </w:r>
    </w:p>
    <w:p>
      <w:pPr>
        <w:spacing w:after="0" w:line="76" w:lineRule="exact"/>
        <w:rPr>
          <w:sz w:val="20"/>
          <w:szCs w:val="20"/>
          <w:color w:val="auto"/>
        </w:rPr>
      </w:pPr>
    </w:p>
    <w:p>
      <w:pPr>
        <w:ind w:left="1640"/>
        <w:spacing w:after="0"/>
        <w:tabs>
          <w:tab w:leader="none" w:pos="3080" w:val="left"/>
        </w:tabs>
        <w:rPr>
          <w:sz w:val="20"/>
          <w:szCs w:val="20"/>
          <w:color w:val="auto"/>
        </w:rPr>
      </w:pPr>
      <w:r>
        <w:rPr>
          <w:rFonts w:ascii="Times New Roman" w:cs="Times New Roman" w:eastAsia="Times New Roman" w:hAnsi="Times New Roman"/>
          <w:sz w:val="14"/>
          <w:szCs w:val="14"/>
          <w:i w:val="1"/>
          <w:iCs w:val="1"/>
          <w:color w:val="auto"/>
        </w:rPr>
        <w:t>Certain Defined Terms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As used herein:</w:t>
      </w:r>
    </w:p>
    <w:p>
      <w:pPr>
        <w:spacing w:after="0" w:line="111" w:lineRule="exact"/>
        <w:rPr>
          <w:sz w:val="20"/>
          <w:szCs w:val="20"/>
          <w:color w:val="auto"/>
        </w:rPr>
      </w:pPr>
    </w:p>
    <w:p>
      <w:pPr>
        <w:ind w:left="1380" w:right="1679" w:firstLine="275"/>
        <w:spacing w:after="0" w:line="271" w:lineRule="auto"/>
        <w:rPr>
          <w:sz w:val="20"/>
          <w:szCs w:val="20"/>
          <w:color w:val="auto"/>
        </w:rPr>
      </w:pPr>
      <w:r>
        <w:rPr>
          <w:rFonts w:ascii="Times New Roman" w:cs="Times New Roman" w:eastAsia="Times New Roman" w:hAnsi="Times New Roman"/>
          <w:sz w:val="14"/>
          <w:szCs w:val="14"/>
          <w:color w:val="auto"/>
        </w:rPr>
        <w:t>“Benchmark Replacement” means the Interpolated Benchmark with respect to the then-current Benchmark, plus the Benchmark Replacement Adjustment for such Benchmark; provided that if: (i) the</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6" w:name="page47"/>
    <w:bookmarkEnd w:id="46"/>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calculation agent cannot determine the Interpolated Benchmark as of the Benchmark Replacement Date, or</w:t>
      </w:r>
    </w:p>
    <w:p>
      <w:pPr>
        <w:spacing w:after="0" w:line="17" w:lineRule="exact"/>
        <w:rPr>
          <w:sz w:val="20"/>
          <w:szCs w:val="20"/>
          <w:color w:val="auto"/>
        </w:rPr>
      </w:pPr>
    </w:p>
    <w:p>
      <w:pPr>
        <w:ind w:left="1380" w:right="1419" w:hanging="8"/>
        <w:spacing w:after="0" w:line="236" w:lineRule="auto"/>
        <w:tabs>
          <w:tab w:leader="none" w:pos="159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“Benchmark Replacement” means the first alternative set forth in the order below that can be determined by the calculation agent as of the Benchmark Replacement Date:</w:t>
      </w:r>
    </w:p>
    <w:p>
      <w:pPr>
        <w:spacing w:after="0" w:line="91" w:lineRule="exact"/>
        <w:rPr>
          <w:rFonts w:ascii="Times New Roman" w:cs="Times New Roman" w:eastAsia="Times New Roman" w:hAnsi="Times New Roman"/>
          <w:sz w:val="14"/>
          <w:szCs w:val="14"/>
          <w:color w:val="auto"/>
        </w:rPr>
      </w:pPr>
    </w:p>
    <w:p>
      <w:pPr>
        <w:ind w:left="2180" w:hanging="259"/>
        <w:spacing w:after="0"/>
        <w:tabs>
          <w:tab w:leader="none" w:pos="218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(A) Compounded SOFR and the (B) Benchmark Replacement Adjustment;</w:t>
      </w:r>
    </w:p>
    <w:p>
      <w:pPr>
        <w:spacing w:after="0" w:line="117" w:lineRule="exact"/>
        <w:rPr>
          <w:rFonts w:ascii="Times New Roman" w:cs="Times New Roman" w:eastAsia="Times New Roman" w:hAnsi="Times New Roman"/>
          <w:sz w:val="14"/>
          <w:szCs w:val="14"/>
          <w:color w:val="auto"/>
        </w:rPr>
      </w:pPr>
    </w:p>
    <w:p>
      <w:pPr>
        <w:jc w:val="both"/>
        <w:ind w:left="1640" w:right="1659" w:firstLine="281"/>
        <w:spacing w:after="0" w:line="243" w:lineRule="auto"/>
        <w:tabs>
          <w:tab w:leader="none" w:pos="2205"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(a) the alternate rate of interest that has been selected or recommended by the Relevant Governmental Body as the replacement for the then-current Benchmark for the applicable Corresponding Tenor and (b) the Benchmark Replacement Adjustment;</w:t>
      </w:r>
    </w:p>
    <w:p>
      <w:pPr>
        <w:spacing w:after="0" w:line="88" w:lineRule="exact"/>
        <w:rPr>
          <w:rFonts w:ascii="Times New Roman" w:cs="Times New Roman" w:eastAsia="Times New Roman" w:hAnsi="Times New Roman"/>
          <w:sz w:val="14"/>
          <w:szCs w:val="14"/>
          <w:color w:val="auto"/>
        </w:rPr>
      </w:pPr>
    </w:p>
    <w:p>
      <w:pPr>
        <w:ind w:left="2260" w:hanging="339"/>
        <w:spacing w:after="0"/>
        <w:tabs>
          <w:tab w:leader="none" w:pos="226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(a) the ISDA Fallback Rate and (b) the Benchmark Replacement Adjustment; or</w:t>
      </w:r>
    </w:p>
    <w:p>
      <w:pPr>
        <w:spacing w:after="0" w:line="117" w:lineRule="exact"/>
        <w:rPr>
          <w:rFonts w:ascii="Times New Roman" w:cs="Times New Roman" w:eastAsia="Times New Roman" w:hAnsi="Times New Roman"/>
          <w:sz w:val="14"/>
          <w:szCs w:val="14"/>
          <w:color w:val="auto"/>
        </w:rPr>
      </w:pPr>
    </w:p>
    <w:p>
      <w:pPr>
        <w:ind w:left="1640" w:right="1419" w:firstLine="281"/>
        <w:spacing w:after="0"/>
        <w:tabs>
          <w:tab w:leader="none" w:pos="2235"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(a) the alternate rate of interest that has been selected by the calculation agent as the replacement for the then-current Benchmark for the applicable Corresponding Tenor, giving due consideration to any industry-accepted rate of interest as a replacement for the then-current Benchmark for U.S. dollar-denominated floating rate notes at such time, and (b) the Benchmark Replacement Adjustment.</w:t>
      </w:r>
    </w:p>
    <w:p>
      <w:pPr>
        <w:spacing w:after="0" w:line="92" w:lineRule="exact"/>
        <w:rPr>
          <w:sz w:val="20"/>
          <w:szCs w:val="20"/>
          <w:color w:val="auto"/>
        </w:rPr>
      </w:pPr>
    </w:p>
    <w:p>
      <w:pPr>
        <w:ind w:left="1380" w:right="1599" w:firstLine="275"/>
        <w:spacing w:after="0" w:line="271" w:lineRule="auto"/>
        <w:rPr>
          <w:sz w:val="20"/>
          <w:szCs w:val="20"/>
          <w:color w:val="auto"/>
        </w:rPr>
      </w:pPr>
      <w:r>
        <w:rPr>
          <w:rFonts w:ascii="Times New Roman" w:cs="Times New Roman" w:eastAsia="Times New Roman" w:hAnsi="Times New Roman"/>
          <w:sz w:val="14"/>
          <w:szCs w:val="14"/>
          <w:color w:val="auto"/>
        </w:rPr>
        <w:t>If the Benchmark Replacement as determined pursuant to clause (i), (ii), (iii) or (iv) above would be less than zero, the Benchmark Replacement will be deemed to be zero.</w:t>
      </w:r>
    </w:p>
    <w:p>
      <w:pPr>
        <w:spacing w:after="0" w:line="69" w:lineRule="exact"/>
        <w:rPr>
          <w:sz w:val="20"/>
          <w:szCs w:val="20"/>
          <w:color w:val="auto"/>
        </w:rPr>
      </w:pPr>
    </w:p>
    <w:p>
      <w:pPr>
        <w:ind w:left="1380" w:right="1479" w:firstLine="275"/>
        <w:spacing w:after="0" w:line="256" w:lineRule="auto"/>
        <w:rPr>
          <w:sz w:val="20"/>
          <w:szCs w:val="20"/>
          <w:color w:val="auto"/>
        </w:rPr>
      </w:pPr>
      <w:r>
        <w:rPr>
          <w:rFonts w:ascii="Times New Roman" w:cs="Times New Roman" w:eastAsia="Times New Roman" w:hAnsi="Times New Roman"/>
          <w:sz w:val="14"/>
          <w:szCs w:val="14"/>
          <w:color w:val="auto"/>
        </w:rPr>
        <w:t>“Benchmark Replacement Adjustment” means the first alternative set forth in the order below that can be determined by the calculation agent as of the Benchmark Replacement Date:</w:t>
      </w:r>
    </w:p>
    <w:p>
      <w:pPr>
        <w:spacing w:after="0" w:line="79" w:lineRule="exact"/>
        <w:rPr>
          <w:sz w:val="20"/>
          <w:szCs w:val="20"/>
          <w:color w:val="auto"/>
        </w:rPr>
      </w:pPr>
    </w:p>
    <w:p>
      <w:pPr>
        <w:ind w:left="1640" w:right="1679" w:firstLine="281"/>
        <w:spacing w:after="0" w:line="243" w:lineRule="auto"/>
        <w:tabs>
          <w:tab w:leader="none" w:pos="216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w:t>
      </w:r>
    </w:p>
    <w:p>
      <w:pPr>
        <w:spacing w:after="0" w:line="88" w:lineRule="exact"/>
        <w:rPr>
          <w:rFonts w:ascii="Times New Roman" w:cs="Times New Roman" w:eastAsia="Times New Roman" w:hAnsi="Times New Roman"/>
          <w:sz w:val="14"/>
          <w:szCs w:val="14"/>
          <w:color w:val="auto"/>
        </w:rPr>
      </w:pPr>
    </w:p>
    <w:p>
      <w:pPr>
        <w:ind w:left="1640" w:right="1679" w:firstLine="281"/>
        <w:spacing w:after="0" w:line="271" w:lineRule="auto"/>
        <w:tabs>
          <w:tab w:leader="none" w:pos="2205"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applicable Unadjusted Benchmark Replacement is equivalent to the ISDA Fallback Rate, then the ISDA Fallback Adjustment; or</w:t>
      </w:r>
    </w:p>
    <w:p>
      <w:pPr>
        <w:spacing w:after="0" w:line="69" w:lineRule="exact"/>
        <w:rPr>
          <w:rFonts w:ascii="Times New Roman" w:cs="Times New Roman" w:eastAsia="Times New Roman" w:hAnsi="Times New Roman"/>
          <w:sz w:val="14"/>
          <w:szCs w:val="14"/>
          <w:color w:val="auto"/>
        </w:rPr>
      </w:pPr>
    </w:p>
    <w:p>
      <w:pPr>
        <w:ind w:left="1640" w:right="1499" w:firstLine="281"/>
        <w:spacing w:after="0"/>
        <w:tabs>
          <w:tab w:leader="none" w:pos="224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spread adjustment (which may be a positive or negative value or zero) that has been selected by the calculation agent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p>
      <w:pPr>
        <w:spacing w:after="0" w:line="92" w:lineRule="exact"/>
        <w:rPr>
          <w:sz w:val="20"/>
          <w:szCs w:val="20"/>
          <w:color w:val="auto"/>
        </w:rPr>
      </w:pPr>
    </w:p>
    <w:p>
      <w:pPr>
        <w:ind w:left="1380" w:right="1419" w:firstLine="275"/>
        <w:spacing w:after="0"/>
        <w:rPr>
          <w:sz w:val="20"/>
          <w:szCs w:val="20"/>
          <w:color w:val="auto"/>
        </w:rPr>
      </w:pPr>
      <w:r>
        <w:rPr>
          <w:rFonts w:ascii="Times New Roman" w:cs="Times New Roman" w:eastAsia="Times New Roman" w:hAnsi="Times New Roman"/>
          <w:sz w:val="14"/>
          <w:szCs w:val="14"/>
          <w:color w:val="auto"/>
        </w:rPr>
        <w:t>“Benchmark Replacement Conforming Changes” means, with respect to any Benchmark Replacement, any technical, administrative or operational changes (including, without limitation, changes to the definition of “Floating Interest Period,” timing and frequency of determining rates with respect to each Floating Interest Period and making payments of interest, rounding of amounts or tenors and other administrative matters) that the calculation agent or the Company decides may be appropriate to reflect the adoption of such Benchmark Replacement in a manner substantially consistent with market practice (or, if the calculation agent or the Company decides that adoption of any portion of such market practice is not administratively feasible or if the calculation agent or the Company determines that no market practice for use of the Benchmark Replacement exists, in such other manner as the calculation agent or the Company determines is reasonably necessary).</w:t>
      </w:r>
    </w:p>
    <w:p>
      <w:pPr>
        <w:spacing w:after="0" w:line="241" w:lineRule="exact"/>
        <w:rPr>
          <w:sz w:val="20"/>
          <w:szCs w:val="20"/>
          <w:color w:val="auto"/>
        </w:rPr>
      </w:pPr>
    </w:p>
    <w:p>
      <w:pPr>
        <w:ind w:left="1380" w:right="1459" w:firstLine="275"/>
        <w:spacing w:after="0" w:line="256" w:lineRule="auto"/>
        <w:rPr>
          <w:sz w:val="20"/>
          <w:szCs w:val="20"/>
          <w:color w:val="auto"/>
        </w:rPr>
      </w:pPr>
      <w:r>
        <w:rPr>
          <w:rFonts w:ascii="Times New Roman" w:cs="Times New Roman" w:eastAsia="Times New Roman" w:hAnsi="Times New Roman"/>
          <w:sz w:val="14"/>
          <w:szCs w:val="14"/>
          <w:color w:val="auto"/>
        </w:rPr>
        <w:t>“Benchmark Replacement Date” means the earliest to occur of the following events with respect to the then-current Benchmark:</w:t>
      </w:r>
    </w:p>
    <w:p>
      <w:pPr>
        <w:spacing w:after="0" w:line="79" w:lineRule="exact"/>
        <w:rPr>
          <w:sz w:val="20"/>
          <w:szCs w:val="20"/>
          <w:color w:val="auto"/>
        </w:rPr>
      </w:pPr>
    </w:p>
    <w:p>
      <w:pPr>
        <w:ind w:left="1640" w:right="1819" w:firstLine="281"/>
        <w:spacing w:after="0" w:line="271" w:lineRule="auto"/>
        <w:tabs>
          <w:tab w:leader="none" w:pos="216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clause (i) of the definition of “Benchmark Transition Event,” the relevant Reference Time in respect of any determination;</w:t>
      </w:r>
    </w:p>
    <w:p>
      <w:pPr>
        <w:spacing w:after="0" w:line="69" w:lineRule="exact"/>
        <w:rPr>
          <w:rFonts w:ascii="Times New Roman" w:cs="Times New Roman" w:eastAsia="Times New Roman" w:hAnsi="Times New Roman"/>
          <w:sz w:val="14"/>
          <w:szCs w:val="14"/>
          <w:color w:val="auto"/>
        </w:rPr>
      </w:pPr>
    </w:p>
    <w:p>
      <w:pPr>
        <w:ind w:left="1640" w:right="1479" w:firstLine="281"/>
        <w:spacing w:after="0" w:line="244" w:lineRule="auto"/>
        <w:tabs>
          <w:tab w:leader="none" w:pos="220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clause (ii) or (iii) of the definition of “Benchmark Transition Event,” the later of (a) the date of the public statement or publication of information referenced therein and (b) the date on which the administrator of the Benchmark permanently or indefinitely ceases to provide the Benchmark; or</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7" w:name="page48"/>
    <w:bookmarkEnd w:id="47"/>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40" w:right="1519" w:firstLine="281"/>
        <w:spacing w:after="0" w:line="271" w:lineRule="auto"/>
        <w:tabs>
          <w:tab w:leader="none" w:pos="2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clause (iv) of the definition of “Benchmark Transition Event,” the date of the public statement or publication of information referenced therein.</w:t>
      </w:r>
    </w:p>
    <w:p>
      <w:pPr>
        <w:spacing w:after="0" w:line="80" w:lineRule="exact"/>
        <w:rPr>
          <w:sz w:val="20"/>
          <w:szCs w:val="20"/>
          <w:color w:val="auto"/>
        </w:rPr>
      </w:pPr>
    </w:p>
    <w:p>
      <w:pPr>
        <w:ind w:left="1380" w:right="1499" w:firstLine="275"/>
        <w:spacing w:after="0" w:line="254" w:lineRule="auto"/>
        <w:rPr>
          <w:sz w:val="20"/>
          <w:szCs w:val="20"/>
          <w:color w:val="auto"/>
        </w:rPr>
      </w:pPr>
      <w:r>
        <w:rPr>
          <w:rFonts w:ascii="Times New Roman" w:cs="Times New Roman" w:eastAsia="Times New Roman" w:hAnsi="Times New Roman"/>
          <w:sz w:val="14"/>
          <w:szCs w:val="14"/>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purposes of such determination.</w:t>
      </w:r>
    </w:p>
    <w:p>
      <w:pPr>
        <w:spacing w:after="0" w:line="91" w:lineRule="exact"/>
        <w:rPr>
          <w:sz w:val="20"/>
          <w:szCs w:val="20"/>
          <w:color w:val="auto"/>
        </w:rPr>
      </w:pPr>
    </w:p>
    <w:p>
      <w:pPr>
        <w:ind w:left="1380" w:right="1599" w:firstLine="275"/>
        <w:spacing w:after="0" w:line="254" w:lineRule="auto"/>
        <w:rPr>
          <w:sz w:val="20"/>
          <w:szCs w:val="20"/>
          <w:color w:val="auto"/>
        </w:rPr>
      </w:pPr>
      <w:r>
        <w:rPr>
          <w:rFonts w:ascii="Times New Roman" w:cs="Times New Roman" w:eastAsia="Times New Roman" w:hAnsi="Times New Roman"/>
          <w:sz w:val="14"/>
          <w:szCs w:val="14"/>
          <w:color w:val="auto"/>
        </w:rPr>
        <w:t>For the avoidance of doubt, for purposes of the definitions of Benchmark Replacement Date and Benchmark Transition Event, references to the Benchmark also include any reference rate underlying the Benchmark (for example, if the Benchmark becomes Compounded SOFR, references to the Benchmark would include SOFR).</w:t>
      </w:r>
    </w:p>
    <w:p>
      <w:pPr>
        <w:spacing w:after="0" w:line="81" w:lineRule="exact"/>
        <w:rPr>
          <w:sz w:val="20"/>
          <w:szCs w:val="20"/>
          <w:color w:val="auto"/>
        </w:rPr>
      </w:pPr>
    </w:p>
    <w:p>
      <w:pPr>
        <w:ind w:left="1380" w:right="1759" w:firstLine="275"/>
        <w:spacing w:after="0" w:line="271" w:lineRule="auto"/>
        <w:rPr>
          <w:sz w:val="20"/>
          <w:szCs w:val="20"/>
          <w:color w:val="auto"/>
        </w:rPr>
      </w:pPr>
      <w:r>
        <w:rPr>
          <w:rFonts w:ascii="Times New Roman" w:cs="Times New Roman" w:eastAsia="Times New Roman" w:hAnsi="Times New Roman"/>
          <w:sz w:val="14"/>
          <w:szCs w:val="14"/>
          <w:color w:val="auto"/>
        </w:rPr>
        <w:t>“Benchmark Transition Event” means the occurrence of one or more of the following events with respect to the then-current Benchmark:</w:t>
      </w:r>
    </w:p>
    <w:p>
      <w:pPr>
        <w:spacing w:after="0" w:line="80" w:lineRule="exact"/>
        <w:rPr>
          <w:sz w:val="20"/>
          <w:szCs w:val="20"/>
          <w:color w:val="auto"/>
        </w:rPr>
      </w:pPr>
    </w:p>
    <w:p>
      <w:pPr>
        <w:ind w:left="1640" w:right="1539" w:firstLine="281"/>
        <w:spacing w:after="0" w:line="255" w:lineRule="auto"/>
        <w:tabs>
          <w:tab w:leader="none" w:pos="2164"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Benchmark is Three-Month Term SOFR, (a) the Relevant Governmental Body has not selected or recommended a forward-looking term rate for a tenor of three months based on SOFR,</w:t>
      </w:r>
    </w:p>
    <w:p>
      <w:pPr>
        <w:spacing w:after="0" w:line="1" w:lineRule="exact"/>
        <w:rPr>
          <w:rFonts w:ascii="Times New Roman" w:cs="Times New Roman" w:eastAsia="Times New Roman" w:hAnsi="Times New Roman"/>
          <w:sz w:val="14"/>
          <w:szCs w:val="14"/>
          <w:color w:val="auto"/>
        </w:rPr>
      </w:pPr>
    </w:p>
    <w:p>
      <w:pPr>
        <w:ind w:left="1640" w:right="1419" w:firstLine="6"/>
        <w:spacing w:after="0" w:line="247" w:lineRule="auto"/>
        <w:tabs>
          <w:tab w:leader="none" w:pos="184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of a forward-looking term rate for a tenor of three months based on SOFR that has been recommended or selected by the Relevant Governmental Body is not complete or (c) the calculation agent determines that the use of a forward-looking rate for a tenor of three months based on SOFR is not administratively feasible;</w:t>
      </w:r>
    </w:p>
    <w:p>
      <w:pPr>
        <w:spacing w:after="0" w:line="96" w:lineRule="exact"/>
        <w:rPr>
          <w:rFonts w:ascii="Times New Roman" w:cs="Times New Roman" w:eastAsia="Times New Roman" w:hAnsi="Times New Roman"/>
          <w:sz w:val="14"/>
          <w:szCs w:val="14"/>
          <w:color w:val="auto"/>
        </w:rPr>
      </w:pPr>
    </w:p>
    <w:p>
      <w:pPr>
        <w:ind w:left="1640" w:right="1579" w:firstLine="281"/>
        <w:spacing w:after="0" w:line="254" w:lineRule="auto"/>
        <w:tabs>
          <w:tab w:leader="none" w:pos="2205"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w:t>
      </w:r>
    </w:p>
    <w:p>
      <w:pPr>
        <w:spacing w:after="0" w:line="81" w:lineRule="exact"/>
        <w:rPr>
          <w:sz w:val="20"/>
          <w:szCs w:val="20"/>
          <w:color w:val="auto"/>
        </w:rPr>
      </w:pPr>
    </w:p>
    <w:p>
      <w:pPr>
        <w:ind w:left="1640" w:right="1399" w:firstLine="281"/>
        <w:spacing w:after="0" w:line="249" w:lineRule="auto"/>
        <w:tabs>
          <w:tab w:leader="none" w:pos="224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w:t>
      </w:r>
    </w:p>
    <w:p>
      <w:pPr>
        <w:spacing w:after="0" w:line="96" w:lineRule="exact"/>
        <w:rPr>
          <w:rFonts w:ascii="Times New Roman" w:cs="Times New Roman" w:eastAsia="Times New Roman" w:hAnsi="Times New Roman"/>
          <w:sz w:val="14"/>
          <w:szCs w:val="14"/>
          <w:color w:val="auto"/>
        </w:rPr>
      </w:pPr>
    </w:p>
    <w:p>
      <w:pPr>
        <w:ind w:left="1640" w:right="1939" w:firstLine="281"/>
        <w:spacing w:after="0" w:line="271" w:lineRule="auto"/>
        <w:tabs>
          <w:tab w:leader="none" w:pos="223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the regulatory supervisor for the administrator of the Benchmark announcing that the Benchmark is no longer representative.</w:t>
      </w:r>
    </w:p>
    <w:p>
      <w:pPr>
        <w:spacing w:after="0" w:line="80" w:lineRule="exact"/>
        <w:rPr>
          <w:sz w:val="20"/>
          <w:szCs w:val="20"/>
          <w:color w:val="auto"/>
        </w:rPr>
      </w:pPr>
    </w:p>
    <w:p>
      <w:pPr>
        <w:jc w:val="both"/>
        <w:ind w:left="1380" w:right="1679" w:firstLine="275"/>
        <w:spacing w:after="0" w:line="258" w:lineRule="auto"/>
        <w:rPr>
          <w:sz w:val="20"/>
          <w:szCs w:val="20"/>
          <w:color w:val="auto"/>
        </w:rPr>
      </w:pPr>
      <w:r>
        <w:rPr>
          <w:rFonts w:ascii="Times New Roman" w:cs="Times New Roman" w:eastAsia="Times New Roman" w:hAnsi="Times New Roman"/>
          <w:sz w:val="14"/>
          <w:szCs w:val="14"/>
          <w:color w:val="auto"/>
        </w:rPr>
        <w:t>“Compounded SOFR” means the compounded average of SOFRs for the applicable Corresponding Tenor, with the rate, or methodology for this rate, and conventions for this rate being established by the calculation agent in accordance with:</w:t>
      </w:r>
    </w:p>
    <w:p>
      <w:pPr>
        <w:spacing w:after="0" w:line="78" w:lineRule="exact"/>
        <w:rPr>
          <w:sz w:val="20"/>
          <w:szCs w:val="20"/>
          <w:color w:val="auto"/>
        </w:rPr>
      </w:pPr>
    </w:p>
    <w:p>
      <w:pPr>
        <w:ind w:left="1640" w:right="1499" w:firstLine="281"/>
        <w:spacing w:after="0" w:line="271" w:lineRule="auto"/>
        <w:tabs>
          <w:tab w:leader="none" w:pos="2164"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methodology for this rate, and conventions for this rate selected or recommended by the Relevant Governmental Body for determining Compounded SOFR; provided that:</w:t>
      </w:r>
    </w:p>
    <w:p>
      <w:pPr>
        <w:spacing w:after="0" w:line="79" w:lineRule="exact"/>
        <w:rPr>
          <w:rFonts w:ascii="Times New Roman" w:cs="Times New Roman" w:eastAsia="Times New Roman" w:hAnsi="Times New Roman"/>
          <w:sz w:val="14"/>
          <w:szCs w:val="14"/>
          <w:color w:val="auto"/>
        </w:rPr>
      </w:pPr>
    </w:p>
    <w:p>
      <w:pPr>
        <w:ind w:left="1640" w:right="1419" w:firstLine="281"/>
        <w:spacing w:after="0" w:line="252" w:lineRule="auto"/>
        <w:tabs>
          <w:tab w:leader="none" w:pos="220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to the extent that, the calculation agent or its designee determines that Compounded SOFR cannot be determined in accordance with clause (i) above, then the rate, or methodology for this rate, and conventions for this rate that have been selected by the calculation agent or its designee giving due consideration to any industry-accepted market practice for U.S. dollar-denominated floating rate notes at such time.</w:t>
      </w:r>
    </w:p>
    <w:p>
      <w:pPr>
        <w:spacing w:after="0" w:line="93" w:lineRule="exact"/>
        <w:rPr>
          <w:sz w:val="20"/>
          <w:szCs w:val="20"/>
          <w:color w:val="auto"/>
        </w:rPr>
      </w:pPr>
    </w:p>
    <w:p>
      <w:pPr>
        <w:ind w:left="1380" w:right="1899" w:firstLine="275"/>
        <w:spacing w:after="0" w:line="271" w:lineRule="auto"/>
        <w:rPr>
          <w:sz w:val="20"/>
          <w:szCs w:val="20"/>
          <w:color w:val="auto"/>
        </w:rPr>
      </w:pPr>
      <w:r>
        <w:rPr>
          <w:rFonts w:ascii="Times New Roman" w:cs="Times New Roman" w:eastAsia="Times New Roman" w:hAnsi="Times New Roman"/>
          <w:sz w:val="14"/>
          <w:szCs w:val="14"/>
          <w:color w:val="auto"/>
        </w:rPr>
        <w:t>For the avoidance of doubt, the calculation of Compounded SOFR will exclude the Benchmark Replacement Adjustment (if applicable) and the spread of 233 basis points per annum.</w:t>
      </w:r>
    </w:p>
    <w:p>
      <w:pPr>
        <w:spacing w:after="0" w:line="69" w:lineRule="exact"/>
        <w:rPr>
          <w:sz w:val="20"/>
          <w:szCs w:val="20"/>
          <w:color w:val="auto"/>
        </w:rPr>
      </w:pPr>
    </w:p>
    <w:p>
      <w:pPr>
        <w:ind w:left="1380" w:right="1419" w:firstLine="275"/>
        <w:spacing w:after="0" w:line="258" w:lineRule="auto"/>
        <w:rPr>
          <w:sz w:val="20"/>
          <w:szCs w:val="20"/>
          <w:color w:val="auto"/>
        </w:rPr>
      </w:pPr>
      <w:r>
        <w:rPr>
          <w:rFonts w:ascii="Times New Roman" w:cs="Times New Roman" w:eastAsia="Times New Roman" w:hAnsi="Times New Roman"/>
          <w:sz w:val="14"/>
          <w:szCs w:val="14"/>
          <w:color w:val="auto"/>
        </w:rPr>
        <w:t>“Corresponding Tenor” means (i) with respect to Three-Month Term SOFR, three months, and (ii) with respect to a Benchmark Replacement, means a tenor (including overnight) having approximately the same length (disregarding business day adjustment) as the applicable tenor for the then-current Benchmark.</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8" w:name="page49"/>
    <w:bookmarkEnd w:id="48"/>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439" w:firstLine="275"/>
        <w:spacing w:after="0" w:line="242" w:lineRule="auto"/>
        <w:rPr>
          <w:sz w:val="20"/>
          <w:szCs w:val="20"/>
          <w:color w:val="auto"/>
        </w:rPr>
      </w:pPr>
      <w:r>
        <w:rPr>
          <w:rFonts w:ascii="Times New Roman" w:cs="Times New Roman" w:eastAsia="Times New Roman" w:hAnsi="Times New Roman"/>
          <w:sz w:val="14"/>
          <w:szCs w:val="14"/>
          <w:color w:val="auto"/>
        </w:rPr>
        <w:t>“Interpolated Benchmark” with respect to the Benchmark means the rate determined by the calculation agent for the Corresponding Tenor by interpolating on a linear basis between: (i) the Benchmark for the longest period (for which the Benchmark is available) that is shorter than the Corresponding Tenor, and</w:t>
      </w:r>
    </w:p>
    <w:p>
      <w:pPr>
        <w:spacing w:after="0" w:line="1" w:lineRule="exact"/>
        <w:rPr>
          <w:sz w:val="20"/>
          <w:szCs w:val="20"/>
          <w:color w:val="auto"/>
        </w:rPr>
      </w:pPr>
    </w:p>
    <w:p>
      <w:pPr>
        <w:ind w:left="1380" w:right="1679" w:hanging="8"/>
        <w:spacing w:after="0" w:line="250" w:lineRule="auto"/>
        <w:tabs>
          <w:tab w:leader="none" w:pos="159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Benchmark for the shortest period (for which the Benchmark is available) that is longer than the Corresponding Tenor.</w:t>
      </w:r>
    </w:p>
    <w:p>
      <w:pPr>
        <w:spacing w:after="0" w:line="8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“ISDA” means the International Swaps and Derivatives Association, Inc. or any successor thereto.</w:t>
      </w:r>
    </w:p>
    <w:p>
      <w:pPr>
        <w:spacing w:after="0" w:line="107" w:lineRule="exact"/>
        <w:rPr>
          <w:sz w:val="20"/>
          <w:szCs w:val="20"/>
          <w:color w:val="auto"/>
        </w:rPr>
      </w:pPr>
    </w:p>
    <w:p>
      <w:pPr>
        <w:ind w:left="1380" w:right="1419" w:firstLine="275"/>
        <w:spacing w:after="0" w:line="251" w:lineRule="auto"/>
        <w:rPr>
          <w:sz w:val="20"/>
          <w:szCs w:val="20"/>
          <w:color w:val="auto"/>
        </w:rPr>
      </w:pPr>
      <w:r>
        <w:rPr>
          <w:rFonts w:ascii="Times New Roman" w:cs="Times New Roman" w:eastAsia="Times New Roman" w:hAnsi="Times New Roman"/>
          <w:sz w:val="14"/>
          <w:szCs w:val="14"/>
          <w:color w:val="auto"/>
        </w:rPr>
        <w:t>“ISDA Definitions” means the 2006 ISDA Definitions published by the ISDA or any successor thereto, as amended or supplemented from time to time, or any successor definitional booklet for interest rate derivatives published from time to time.</w:t>
      </w:r>
    </w:p>
    <w:p>
      <w:pPr>
        <w:spacing w:after="0" w:line="82" w:lineRule="exact"/>
        <w:rPr>
          <w:sz w:val="20"/>
          <w:szCs w:val="20"/>
          <w:color w:val="auto"/>
        </w:rPr>
      </w:pPr>
    </w:p>
    <w:p>
      <w:pPr>
        <w:ind w:left="1380" w:right="1479" w:firstLine="275"/>
        <w:spacing w:after="0" w:line="251" w:lineRule="auto"/>
        <w:rPr>
          <w:sz w:val="20"/>
          <w:szCs w:val="20"/>
          <w:color w:val="auto"/>
        </w:rPr>
      </w:pPr>
      <w:r>
        <w:rPr>
          <w:rFonts w:ascii="Times New Roman" w:cs="Times New Roman" w:eastAsia="Times New Roman" w:hAnsi="Times New Roman"/>
          <w:sz w:val="14"/>
          <w:szCs w:val="14"/>
          <w:color w:val="auto"/>
        </w:rPr>
        <w:t>“ISDA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82" w:lineRule="exact"/>
        <w:rPr>
          <w:sz w:val="20"/>
          <w:szCs w:val="20"/>
          <w:color w:val="auto"/>
        </w:rPr>
      </w:pPr>
    </w:p>
    <w:p>
      <w:pPr>
        <w:ind w:left="1380" w:right="1699" w:firstLine="275"/>
        <w:spacing w:after="0" w:line="243" w:lineRule="auto"/>
        <w:rPr>
          <w:sz w:val="20"/>
          <w:szCs w:val="20"/>
          <w:color w:val="auto"/>
        </w:rPr>
      </w:pPr>
      <w:r>
        <w:rPr>
          <w:rFonts w:ascii="Times New Roman" w:cs="Times New Roman" w:eastAsia="Times New Roman" w:hAnsi="Times New Roman"/>
          <w:sz w:val="14"/>
          <w:szCs w:val="14"/>
          <w:color w:val="auto"/>
        </w:rPr>
        <w:t>“ISDA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88" w:lineRule="exact"/>
        <w:rPr>
          <w:sz w:val="20"/>
          <w:szCs w:val="20"/>
          <w:color w:val="auto"/>
        </w:rPr>
      </w:pPr>
    </w:p>
    <w:p>
      <w:pPr>
        <w:ind w:left="1380" w:right="1519" w:firstLine="275"/>
        <w:spacing w:after="0" w:line="271" w:lineRule="auto"/>
        <w:rPr>
          <w:sz w:val="20"/>
          <w:szCs w:val="20"/>
          <w:color w:val="auto"/>
        </w:rPr>
      </w:pPr>
      <w:r>
        <w:rPr>
          <w:rFonts w:ascii="Times New Roman" w:cs="Times New Roman" w:eastAsia="Times New Roman" w:hAnsi="Times New Roman"/>
          <w:sz w:val="14"/>
          <w:szCs w:val="14"/>
          <w:color w:val="auto"/>
        </w:rPr>
        <w:t>“Unadjusted Benchmark Replacement” means the Benchmark Replacement excluding the Benchmark Replacement Adjustment.</w:t>
      </w:r>
    </w:p>
    <w:p>
      <w:pPr>
        <w:spacing w:after="0" w:line="69" w:lineRule="exact"/>
        <w:rPr>
          <w:sz w:val="20"/>
          <w:szCs w:val="20"/>
          <w:color w:val="auto"/>
        </w:rPr>
      </w:pPr>
    </w:p>
    <w:p>
      <w:pPr>
        <w:ind w:left="1380" w:right="1579" w:firstLine="275"/>
        <w:spacing w:after="0" w:line="256" w:lineRule="auto"/>
        <w:rPr>
          <w:sz w:val="20"/>
          <w:szCs w:val="20"/>
          <w:color w:val="auto"/>
        </w:rPr>
      </w:pPr>
      <w:r>
        <w:rPr>
          <w:rFonts w:ascii="Times New Roman" w:cs="Times New Roman" w:eastAsia="Times New Roman" w:hAnsi="Times New Roman"/>
          <w:sz w:val="14"/>
          <w:szCs w:val="14"/>
          <w:color w:val="auto"/>
        </w:rPr>
        <w:t>The terms “FRBNY’s Website,” “Reference Time,” “Relevant Governmental Body,” “SOFR” and “Term SOFR” have the meanings set forth above under the heading “— Principal, Maturity and Interest.”</w:t>
      </w:r>
    </w:p>
    <w:p>
      <w:pPr>
        <w:spacing w:after="0" w:line="1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Determinations and Decisions</w:t>
      </w:r>
    </w:p>
    <w:p>
      <w:pPr>
        <w:spacing w:after="0" w:line="121" w:lineRule="exact"/>
        <w:rPr>
          <w:sz w:val="20"/>
          <w:szCs w:val="20"/>
          <w:color w:val="auto"/>
        </w:rPr>
      </w:pPr>
    </w:p>
    <w:p>
      <w:pPr>
        <w:ind w:left="1380" w:right="1499" w:firstLine="275"/>
        <w:spacing w:after="0" w:line="239" w:lineRule="auto"/>
        <w:rPr>
          <w:sz w:val="20"/>
          <w:szCs w:val="20"/>
          <w:color w:val="auto"/>
        </w:rPr>
      </w:pPr>
      <w:r>
        <w:rPr>
          <w:rFonts w:ascii="Times New Roman" w:cs="Times New Roman" w:eastAsia="Times New Roman" w:hAnsi="Times New Roman"/>
          <w:sz w:val="14"/>
          <w:szCs w:val="14"/>
          <w:color w:val="auto"/>
        </w:rPr>
        <w:t>The calculation agent is expressly authorized to make certain determinations, decisions and elections under the terms of the notes, including with respect to the use of Three-Month Term SOFR as the Benchmark for the Floating Interest Period and under the benchmark transition provisions. Any determination, decision or election that may be made by the calculation agent under the terms of the notes, including any determination with respect to a tenor, rate or adjustment or of the occurrence or non-occurrence of an event, circumstance or date and any decision to take or refrain from taking any action or any selection:</w:t>
      </w:r>
    </w:p>
    <w:p>
      <w:pPr>
        <w:spacing w:after="0" w:line="52" w:lineRule="exact"/>
        <w:rPr>
          <w:sz w:val="20"/>
          <w:szCs w:val="20"/>
          <w:color w:val="auto"/>
        </w:rPr>
      </w:pPr>
    </w:p>
    <w:p>
      <w:pPr>
        <w:ind w:left="1780" w:hanging="134"/>
        <w:spacing w:after="0"/>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conclusive and binding on the holders of the notes and the trustee absent manifest error;</w:t>
      </w:r>
    </w:p>
    <w:p>
      <w:pPr>
        <w:spacing w:after="0" w:line="86" w:lineRule="exact"/>
        <w:rPr>
          <w:rFonts w:ascii="Times New Roman" w:cs="Times New Roman" w:eastAsia="Times New Roman" w:hAnsi="Times New Roman"/>
          <w:sz w:val="14"/>
          <w:szCs w:val="14"/>
          <w:color w:val="auto"/>
        </w:rPr>
      </w:pPr>
    </w:p>
    <w:p>
      <w:pPr>
        <w:ind w:left="1780" w:hanging="134"/>
        <w:spacing w:after="0"/>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made by us as calculation agent, will be made in our sole discretion;</w:t>
      </w:r>
    </w:p>
    <w:p>
      <w:pPr>
        <w:spacing w:after="0" w:line="76" w:lineRule="exact"/>
        <w:rPr>
          <w:rFonts w:ascii="Times New Roman" w:cs="Times New Roman" w:eastAsia="Times New Roman" w:hAnsi="Times New Roman"/>
          <w:sz w:val="14"/>
          <w:szCs w:val="14"/>
          <w:color w:val="auto"/>
        </w:rPr>
      </w:pPr>
    </w:p>
    <w:p>
      <w:pPr>
        <w:ind w:left="1780" w:right="1439" w:hanging="134"/>
        <w:spacing w:after="0" w:line="258" w:lineRule="auto"/>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made by a calculation agent other than us, will be made after consultation with us, and the calculation agent will not make any such determination, decision or election to which we reasonably object; and</w:t>
      </w:r>
    </w:p>
    <w:p>
      <w:pPr>
        <w:spacing w:after="0" w:line="47" w:lineRule="exact"/>
        <w:rPr>
          <w:rFonts w:ascii="Times New Roman" w:cs="Times New Roman" w:eastAsia="Times New Roman" w:hAnsi="Times New Roman"/>
          <w:sz w:val="14"/>
          <w:szCs w:val="14"/>
          <w:color w:val="auto"/>
        </w:rPr>
      </w:pPr>
    </w:p>
    <w:p>
      <w:pPr>
        <w:ind w:left="1780" w:right="1599" w:hanging="134"/>
        <w:spacing w:after="0" w:line="271" w:lineRule="auto"/>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the notes, indenture or note purchase agreement, shall become effective without consent from the holders of the notes, the trustee or any other party.</w:t>
      </w:r>
    </w:p>
    <w:p>
      <w:pPr>
        <w:spacing w:after="0" w:line="1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Calculation Agent</w:t>
      </w:r>
    </w:p>
    <w:p>
      <w:pPr>
        <w:spacing w:after="0" w:line="111" w:lineRule="exact"/>
        <w:rPr>
          <w:sz w:val="20"/>
          <w:szCs w:val="20"/>
          <w:color w:val="auto"/>
        </w:rPr>
      </w:pPr>
    </w:p>
    <w:p>
      <w:pPr>
        <w:ind w:left="1380" w:right="1599" w:firstLine="275"/>
        <w:spacing w:after="0" w:line="244" w:lineRule="auto"/>
        <w:rPr>
          <w:sz w:val="20"/>
          <w:szCs w:val="20"/>
          <w:color w:val="auto"/>
        </w:rPr>
      </w:pPr>
      <w:r>
        <w:rPr>
          <w:rFonts w:ascii="Times New Roman" w:cs="Times New Roman" w:eastAsia="Times New Roman" w:hAnsi="Times New Roman"/>
          <w:sz w:val="14"/>
          <w:szCs w:val="14"/>
          <w:color w:val="auto"/>
        </w:rPr>
        <w:t>We will appoint a calculation agent for the notes prior to the commencement of the Floating Interest Period and will keep a record of such appointment at our principal offices, which will be available to any holder of the notes upon request. In addition, we or an affiliate of ours may assume the duties of the calculation agent. We will act as the initial calculation agent.</w:t>
      </w:r>
    </w:p>
    <w:p>
      <w:pPr>
        <w:spacing w:after="0" w:line="14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Regarding the Trustee</w:t>
      </w:r>
    </w:p>
    <w:p>
      <w:pPr>
        <w:spacing w:after="0" w:line="111" w:lineRule="exact"/>
        <w:rPr>
          <w:sz w:val="20"/>
          <w:szCs w:val="20"/>
          <w:color w:val="auto"/>
        </w:rPr>
      </w:pPr>
    </w:p>
    <w:p>
      <w:pPr>
        <w:ind w:left="1380" w:right="1399" w:firstLine="275"/>
        <w:spacing w:after="0" w:line="244" w:lineRule="auto"/>
        <w:rPr>
          <w:sz w:val="20"/>
          <w:szCs w:val="20"/>
          <w:color w:val="auto"/>
        </w:rPr>
      </w:pPr>
      <w:r>
        <w:rPr>
          <w:rFonts w:ascii="Times New Roman" w:cs="Times New Roman" w:eastAsia="Times New Roman" w:hAnsi="Times New Roman"/>
          <w:sz w:val="14"/>
          <w:szCs w:val="14"/>
          <w:color w:val="auto"/>
        </w:rPr>
        <w:t>UMB Bank, N.A. is acting as the trustee under the indenture and the initial paying agent and registrar for the notes. From time to time, we and some of our subsidiaries may maintain deposit accounts and conduct other banking transactions, including lending transactions, with the trustee in the ordinary course of business.</w:t>
      </w:r>
    </w:p>
    <w:p>
      <w:pPr>
        <w:spacing w:after="0" w:line="251" w:lineRule="exact"/>
        <w:rPr>
          <w:sz w:val="20"/>
          <w:szCs w:val="20"/>
          <w:color w:val="auto"/>
        </w:rPr>
      </w:pPr>
    </w:p>
    <w:p>
      <w:pPr>
        <w:ind w:left="1380" w:right="1459" w:firstLine="275"/>
        <w:spacing w:after="0" w:line="271" w:lineRule="auto"/>
        <w:rPr>
          <w:sz w:val="20"/>
          <w:szCs w:val="20"/>
          <w:color w:val="auto"/>
        </w:rPr>
      </w:pPr>
      <w:r>
        <w:rPr>
          <w:rFonts w:ascii="Times New Roman" w:cs="Times New Roman" w:eastAsia="Times New Roman" w:hAnsi="Times New Roman"/>
          <w:sz w:val="14"/>
          <w:szCs w:val="14"/>
          <w:color w:val="auto"/>
        </w:rPr>
        <w:t>Except during the continuance of an event of default under the indenture, the trustee will perform only such duties as are specifically set forth in the indenture. During the continuance of an event of default that</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49" w:name="page50"/>
    <w:bookmarkEnd w:id="49"/>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459"/>
        <w:spacing w:after="0" w:line="258" w:lineRule="auto"/>
        <w:rPr>
          <w:sz w:val="20"/>
          <w:szCs w:val="20"/>
          <w:color w:val="auto"/>
        </w:rPr>
      </w:pPr>
      <w:r>
        <w:rPr>
          <w:rFonts w:ascii="Times New Roman" w:cs="Times New Roman" w:eastAsia="Times New Roman" w:hAnsi="Times New Roman"/>
          <w:sz w:val="14"/>
          <w:szCs w:val="14"/>
          <w:color w:val="auto"/>
        </w:rPr>
        <w:t>has not been cured or waived, the trustee will exercise such of the rights and powers vested in it by the indenture, and use the same degree of care and skill in their exercise, as a prudent person would exercise or use under the circumstances.</w:t>
      </w:r>
    </w:p>
    <w:p>
      <w:pPr>
        <w:spacing w:after="0" w:line="89" w:lineRule="exact"/>
        <w:rPr>
          <w:sz w:val="20"/>
          <w:szCs w:val="20"/>
          <w:color w:val="auto"/>
        </w:rPr>
      </w:pPr>
    </w:p>
    <w:p>
      <w:pPr>
        <w:ind w:left="1380" w:right="1399" w:firstLine="275"/>
        <w:spacing w:after="0" w:line="251" w:lineRule="auto"/>
        <w:rPr>
          <w:sz w:val="20"/>
          <w:szCs w:val="20"/>
          <w:color w:val="auto"/>
        </w:rPr>
      </w:pPr>
      <w:r>
        <w:rPr>
          <w:rFonts w:ascii="Times New Roman" w:cs="Times New Roman" w:eastAsia="Times New Roman" w:hAnsi="Times New Roman"/>
          <w:sz w:val="14"/>
          <w:szCs w:val="14"/>
          <w:color w:val="auto"/>
        </w:rPr>
        <w:t>The indenture and the Trust Indenture Act contain certain limitations on the rights of the trustee, should it become a creditor of our organization, to obtain payment of claims in certain cases or to realize on certain property received in respect of any such claim as security or otherwise. The trustee will be permitted to engage in other transactions; however, if it acquires any “conflicting interest” (as​ defined in the Trust Indenture Act) it must eliminate such conflict within 90 days, apply to the SEC for permission to continue or resign.</w:t>
      </w:r>
    </w:p>
    <w:p>
      <w:pPr>
        <w:spacing w:after="0" w:line="261" w:lineRule="exact"/>
        <w:rPr>
          <w:sz w:val="20"/>
          <w:szCs w:val="20"/>
          <w:color w:val="auto"/>
        </w:rPr>
      </w:pPr>
    </w:p>
    <w:p>
      <w:pPr>
        <w:ind w:left="1380" w:right="1419" w:firstLine="275"/>
        <w:spacing w:after="0" w:line="248"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notes will have the right to direct the time, method and place of conducting any proceeding for any remedy available to the trustee or exercising any trust or power conferred on the trustee, subject to certain exceptions. The indenture provides that in case an event of default has occurred and is continuing, the trustee will exercise such of the rights and powers vested in it by the indenture, and use the same degree of care and skill in their exercise, as a prudent person would exercise or use under the circumstances. Subject to such provisions, the trustee will be under no obligation to exercise any of the rights or powers vested in it by the indenture at the request or direction of any of the holders under the indenture, unless such holders will have provided to the trustee security or indemnity satisfactory to the trustee against the losses, liabilities and expenses which might be incurred by it in compliance with such request or direction.</w:t>
      </w:r>
    </w:p>
    <w:p>
      <w:pPr>
        <w:spacing w:after="0" w:line="14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No Personal Liability of Shareholders, Employees, Officers or Directors</w:t>
      </w:r>
    </w:p>
    <w:p>
      <w:pPr>
        <w:spacing w:after="0" w:line="111" w:lineRule="exact"/>
        <w:rPr>
          <w:sz w:val="20"/>
          <w:szCs w:val="20"/>
          <w:color w:val="auto"/>
        </w:rPr>
      </w:pPr>
    </w:p>
    <w:p>
      <w:pPr>
        <w:ind w:left="1380" w:right="1399" w:firstLine="275"/>
        <w:spacing w:after="0" w:line="250" w:lineRule="auto"/>
        <w:rPr>
          <w:sz w:val="20"/>
          <w:szCs w:val="20"/>
          <w:color w:val="auto"/>
        </w:rPr>
      </w:pPr>
      <w:r>
        <w:rPr>
          <w:rFonts w:ascii="Times New Roman" w:cs="Times New Roman" w:eastAsia="Times New Roman" w:hAnsi="Times New Roman"/>
          <w:sz w:val="14"/>
          <w:szCs w:val="14"/>
          <w:color w:val="auto"/>
        </w:rPr>
        <w:t>No past, present or future director, officer, employee or shareholder of our company or any of our predecessors or successors, as such or in such capacity, will have any personal liability for any of our obligations under the notes or the indenture by reason of his, her or its status as such director, officer, employee or shareholder. Each holder of notes by accepting a note waives and releases all such liability. The waiver and release are part of the consideration for the issuance of the notes. Such waiver may not be effective to waive liabilities under the federal securities laws, and it is the view of the SEC that such a waiver is against public policy.</w:t>
      </w:r>
    </w:p>
    <w:p>
      <w:pPr>
        <w:spacing w:after="0" w:line="14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1" w:lineRule="exact"/>
        <w:rPr>
          <w:sz w:val="20"/>
          <w:szCs w:val="20"/>
          <w:color w:val="auto"/>
        </w:rPr>
      </w:pPr>
    </w:p>
    <w:p>
      <w:pPr>
        <w:ind w:left="1380" w:right="1419" w:firstLine="275"/>
        <w:spacing w:after="0" w:line="271" w:lineRule="auto"/>
        <w:rPr>
          <w:sz w:val="20"/>
          <w:szCs w:val="20"/>
          <w:color w:val="auto"/>
        </w:rPr>
      </w:pPr>
      <w:r>
        <w:rPr>
          <w:rFonts w:ascii="Times New Roman" w:cs="Times New Roman" w:eastAsia="Times New Roman" w:hAnsi="Times New Roman"/>
          <w:sz w:val="14"/>
          <w:szCs w:val="14"/>
          <w:color w:val="auto"/>
        </w:rPr>
        <w:t>The notes and the indenture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0" w:name="page51"/>
    <w:bookmarkEnd w:id="50"/>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MATERIAL UNITED STATES FEDERAL INCOME TAX CONSIDERATIONS</w:t>
      </w:r>
    </w:p>
    <w:p>
      <w:pPr>
        <w:spacing w:after="0" w:line="121" w:lineRule="exact"/>
        <w:rPr>
          <w:sz w:val="20"/>
          <w:szCs w:val="20"/>
          <w:color w:val="auto"/>
        </w:rPr>
      </w:pPr>
    </w:p>
    <w:p>
      <w:pPr>
        <w:ind w:left="1380" w:right="1439" w:firstLine="275"/>
        <w:spacing w:after="0" w:line="248" w:lineRule="auto"/>
        <w:rPr>
          <w:sz w:val="20"/>
          <w:szCs w:val="20"/>
          <w:color w:val="auto"/>
        </w:rPr>
      </w:pPr>
      <w:r>
        <w:rPr>
          <w:rFonts w:ascii="Times New Roman" w:cs="Times New Roman" w:eastAsia="Times New Roman" w:hAnsi="Times New Roman"/>
          <w:sz w:val="14"/>
          <w:szCs w:val="14"/>
          <w:color w:val="auto"/>
        </w:rPr>
        <w:t>The following is a general summary of the material U.S. federal income tax considerations of the exchange of outstanding Old Notes for New Notes in the exchange offer. It is not a complete analysis of all the potential tax considerations relating to the exchange of outstanding Old Notes for New Notes. This discussion is based upon the provisions of the Internal Revenue Code of 1986, as amended (the “Code”), its legislative history, existing and proposed regulations under the Code, and administrative and judicial interpretations, all as currently in effect. These authorities are subject to change, possibly on a retroactive basis. We cannot assure you that the Internal Revenue Service will not challenge one or more of the tax consequences described in this discussion, and we have not obtained, nor do we intend to obtain, a ruling from the Internal Revenue Service or an opinion of counsel with respect to the U.S. federal income tax consequences described herein.</w:t>
      </w:r>
    </w:p>
    <w:p>
      <w:pPr>
        <w:spacing w:after="0" w:line="99" w:lineRule="exact"/>
        <w:rPr>
          <w:sz w:val="20"/>
          <w:szCs w:val="20"/>
          <w:color w:val="auto"/>
        </w:rPr>
      </w:pPr>
    </w:p>
    <w:p>
      <w:pPr>
        <w:ind w:left="1380" w:right="1379" w:firstLine="275"/>
        <w:spacing w:after="0" w:line="247" w:lineRule="auto"/>
        <w:rPr>
          <w:sz w:val="20"/>
          <w:szCs w:val="20"/>
          <w:color w:val="auto"/>
        </w:rPr>
      </w:pPr>
      <w:r>
        <w:rPr>
          <w:rFonts w:ascii="Times New Roman" w:cs="Times New Roman" w:eastAsia="Times New Roman" w:hAnsi="Times New Roman"/>
          <w:sz w:val="14"/>
          <w:szCs w:val="14"/>
          <w:color w:val="auto"/>
        </w:rPr>
        <w:t>The tax treatment of a holder of notes may vary depending on the holder’s particular situation. This discussion is limited to the U.S. federal income tax consequences applicable to holders that purchased their Old Notes from us in the initial offering and at the initial offering price for cash and who held the Old Notes, and will hold the New Notes, as capital assets within the meaning of Section 1221 of the Code for U.S. federal income tax purposes. This discussion does not address all U.S. federal income tax considerations that may be applicable to holders’ particular circumstances or to holders that may be subject to special tax rules under U.S. federal income tax laws, including, but not limited to, banks, insurance companies, or other financial institutions, regulated investment companies, real estate investment trusts, tax-exempt organizations, dealers or traders in securities, commodities or currencies, U.S. expatriates, controlled foreign corporations, passive foreign investment companies, holders subject to the alternative minimum tax, traders in securities that elect to use a mark-to-market method of accounting for their securities holdings, United States holders whose functional currency is not the United States dollar, persons that will hold the New Notes as a position in a hedging transaction, straddle, conversion transaction or other integrated transactions or risk reduction transaction, persons deemed to sell the New Notes under the constructive sale provisions of the Code, persons that will hold the New Notes in an individual retirement account, 401(k) plan or similar tax-favored account, an accrual method taxpayer who is required to recognize income for U.S. federal income tax purposes no later than when such income is taken into account for financial accounting purposes, a person that purchases or sells notes as part of a wash sale for tax purposes, or entities or arrangements classified as partnerships for U.S. federal income tax purposes or other pass-through entities, or investors in such entities. This discussion does not address the tax considerations arising under the laws of any foreign, state or local jurisdiction, or any non-income tax consequences of the exchange of Old Notes for New Notes.</w:t>
      </w:r>
    </w:p>
    <w:p>
      <w:pPr>
        <w:spacing w:after="0" w:line="251" w:lineRule="exact"/>
        <w:rPr>
          <w:sz w:val="20"/>
          <w:szCs w:val="20"/>
          <w:color w:val="auto"/>
        </w:rPr>
      </w:pPr>
    </w:p>
    <w:p>
      <w:pPr>
        <w:ind w:left="1380" w:right="1419" w:firstLine="275"/>
        <w:spacing w:after="0" w:line="250" w:lineRule="auto"/>
        <w:rPr>
          <w:sz w:val="20"/>
          <w:szCs w:val="20"/>
          <w:color w:val="auto"/>
        </w:rPr>
      </w:pPr>
      <w:r>
        <w:rPr>
          <w:rFonts w:ascii="Times New Roman" w:cs="Times New Roman" w:eastAsia="Times New Roman" w:hAnsi="Times New Roman"/>
          <w:sz w:val="14"/>
          <w:szCs w:val="14"/>
          <w:color w:val="auto"/>
        </w:rPr>
        <w:t>The exchange of Old Notes for New Notes in the exchange offer should not constitute a taxable exchange for U.S. federal income tax purposes. Consequently, (1) holders of Old Notes should not recognize gain or loss upon the receipt of New Notes in the exchange offer, (2) a holder’s basis in the New Notes received in the exchange offer should be the same as such holder’s basis in the Old Notes surrendered in exchange therefor immediately before the exchange, and (3) a holder’s holding period in the New Notes should include such holder’s holding period in the Old Notes surrendered in exchange therefor.</w:t>
      </w:r>
    </w:p>
    <w:p>
      <w:pPr>
        <w:spacing w:after="0" w:line="92" w:lineRule="exact"/>
        <w:rPr>
          <w:sz w:val="20"/>
          <w:szCs w:val="20"/>
          <w:color w:val="auto"/>
        </w:rPr>
      </w:pPr>
    </w:p>
    <w:p>
      <w:pPr>
        <w:ind w:left="1380" w:right="1479" w:firstLine="275"/>
        <w:spacing w:after="0" w:line="277" w:lineRule="auto"/>
        <w:rPr>
          <w:sz w:val="20"/>
          <w:szCs w:val="20"/>
          <w:color w:val="auto"/>
        </w:rPr>
      </w:pPr>
      <w:r>
        <w:rPr>
          <w:rFonts w:ascii="Times New Roman" w:cs="Times New Roman" w:eastAsia="Times New Roman" w:hAnsi="Times New Roman"/>
          <w:sz w:val="13"/>
          <w:szCs w:val="13"/>
          <w:b w:val="1"/>
          <w:bCs w:val="1"/>
          <w:color w:val="auto"/>
        </w:rPr>
        <w:t>This discussion of material United States Federal Income Tax Considerations is for general information only and may not be applicable depending upon a holder’s particular situation. Holders of Old Notes considering the exchange offer are urged to consult their own tax advisors with respect to the tax consequences to them of exchanging Old Notes for New Notes, including the tax consequences under state, local, estate, foreign and other tax laws and the possible effects of changes in United States or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1" w:name="page52"/>
    <w:bookmarkEnd w:id="51"/>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1" w:lineRule="exact"/>
        <w:rPr>
          <w:sz w:val="20"/>
          <w:szCs w:val="20"/>
          <w:color w:val="auto"/>
        </w:rPr>
      </w:pPr>
    </w:p>
    <w:p>
      <w:pPr>
        <w:ind w:left="1380" w:right="1399" w:firstLine="275"/>
        <w:spacing w:after="0" w:line="249" w:lineRule="auto"/>
        <w:rPr>
          <w:sz w:val="20"/>
          <w:szCs w:val="20"/>
          <w:color w:val="auto"/>
        </w:rPr>
      </w:pPr>
      <w:r>
        <w:rPr>
          <w:rFonts w:ascii="Times New Roman" w:cs="Times New Roman" w:eastAsia="Times New Roman" w:hAnsi="Times New Roman"/>
          <w:sz w:val="14"/>
          <w:szCs w:val="14"/>
          <w:color w:val="auto"/>
        </w:rPr>
        <w:t>Each broker-dealer that receives New Notes for its own account pursuant to the exchange offer must acknowledge that it may be a statutory underwriter and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provided that such broker-dealer notifies the Company to that effect by so indicating on the letter of transmittal. To the extent that any notifying broker-dealer participates in the exchange offer, we will use our commercially reasonable efforts to maintain the effectiveness of this prospectus.</w:t>
      </w:r>
    </w:p>
    <w:p>
      <w:pPr>
        <w:spacing w:after="0" w:line="96" w:lineRule="exact"/>
        <w:rPr>
          <w:sz w:val="20"/>
          <w:szCs w:val="20"/>
          <w:color w:val="auto"/>
        </w:rPr>
      </w:pPr>
    </w:p>
    <w:p>
      <w:pPr>
        <w:ind w:left="1380" w:right="1399" w:firstLine="275"/>
        <w:spacing w:after="0" w:line="247" w:lineRule="auto"/>
        <w:rPr>
          <w:sz w:val="20"/>
          <w:szCs w:val="20"/>
          <w:color w:val="auto"/>
        </w:rPr>
      </w:pPr>
      <w:r>
        <w:rPr>
          <w:rFonts w:ascii="Times New Roman" w:cs="Times New Roman" w:eastAsia="Times New Roman" w:hAnsi="Times New Roman"/>
          <w:sz w:val="14"/>
          <w:szCs w:val="14"/>
          <w:color w:val="auto"/>
        </w:rPr>
        <w:t>We will not receive any proceeds from any sale of New Notes by broker-dealers or any other persons.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New Notes. Any broker-dealer that receives New Notes in exchange for Old Notes acquired for its own account as a result of market-making activities or other trading activities, and resells such New Notes, and any broker-dealer that participates in a distribution of such New Notes may be deemed to be an “underwriter” within the meaning of the Securities Act and any profit on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257" w:lineRule="exact"/>
        <w:rPr>
          <w:sz w:val="20"/>
          <w:szCs w:val="20"/>
          <w:color w:val="auto"/>
        </w:rPr>
      </w:pPr>
    </w:p>
    <w:p>
      <w:pPr>
        <w:ind w:left="1380" w:right="1499" w:firstLine="275"/>
        <w:spacing w:after="0" w:line="254" w:lineRule="auto"/>
        <w:rPr>
          <w:sz w:val="20"/>
          <w:szCs w:val="20"/>
          <w:color w:val="auto"/>
        </w:rPr>
      </w:pPr>
      <w:r>
        <w:rPr>
          <w:rFonts w:ascii="Times New Roman" w:cs="Times New Roman" w:eastAsia="Times New Roman" w:hAnsi="Times New Roman"/>
          <w:sz w:val="14"/>
          <w:szCs w:val="14"/>
          <w:color w:val="auto"/>
        </w:rPr>
        <w:t>We will promptly send additional copies of this prospectus and any amendment or supplement to this prospectus to any broker-dealer that reasonably requests such documents. We have agreed to pay certain expenses in connection with the exchange offer and will indemnify the holders of the Old Notes (including any broker-dealers) against certain liabilities, including certain liabilities under the Securities Act.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1" w:lineRule="exact"/>
        <w:rPr>
          <w:sz w:val="20"/>
          <w:szCs w:val="20"/>
          <w:color w:val="auto"/>
        </w:rPr>
      </w:pPr>
    </w:p>
    <w:p>
      <w:pPr>
        <w:ind w:left="1380" w:right="1899" w:firstLine="275"/>
        <w:spacing w:after="0" w:line="271" w:lineRule="auto"/>
        <w:rPr>
          <w:sz w:val="20"/>
          <w:szCs w:val="20"/>
          <w:color w:val="auto"/>
        </w:rPr>
      </w:pPr>
      <w:r>
        <w:rPr>
          <w:rFonts w:ascii="Times New Roman" w:cs="Times New Roman" w:eastAsia="Times New Roman" w:hAnsi="Times New Roman"/>
          <w:sz w:val="14"/>
          <w:szCs w:val="14"/>
          <w:color w:val="auto"/>
        </w:rPr>
        <w:t>The validity of the New Notes will be passed upon for us by Barack Ferrazzano Kirschbaum &amp; Nagelberg LLP.</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1" w:lineRule="exact"/>
        <w:rPr>
          <w:sz w:val="20"/>
          <w:szCs w:val="20"/>
          <w:color w:val="auto"/>
        </w:rPr>
      </w:pPr>
    </w:p>
    <w:p>
      <w:pPr>
        <w:ind w:left="1380" w:right="1419" w:firstLine="275"/>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financial statements of HBT Financial, Inc. as of December 31, 2025 and 2024 and for each of the years in the three-year period ended December 31, 2025 and the effectiveness of internal control over financial reporting as of December 31, 2025 incorporated in this Registration Statement by reference from the HBT Financial, Inc. </w:t>
      </w:r>
      <w:hyperlink r:id="rId16">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 xml:space="preserve"> have been audited by RSM US LLP, an independent registered public accounting firm, as stated in their reports thereon, incorporated herein by reference, and have been incorporated in this Registration Statement in reliance upon such reports and upon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2" w:name="page53"/>
    <w:bookmarkEnd w:id="52"/>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Item 20. Indemnification of Directors and Officers.</w:t>
      </w:r>
    </w:p>
    <w:p>
      <w:pPr>
        <w:spacing w:after="0" w:line="1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Delaware Law.  </w:t>
      </w:r>
      <w:r>
        <w:rPr>
          <w:rFonts w:ascii="Times New Roman" w:cs="Times New Roman" w:eastAsia="Times New Roman" w:hAnsi="Times New Roman"/>
          <w:sz w:val="14"/>
          <w:szCs w:val="14"/>
          <w:color w:val="auto"/>
        </w:rPr>
        <w:t>The Company is incorporated under the laws of the State of Delaware. Section 102(b)</w:t>
      </w:r>
    </w:p>
    <w:p>
      <w:pPr>
        <w:spacing w:after="0" w:line="12" w:lineRule="exact"/>
        <w:rPr>
          <w:sz w:val="20"/>
          <w:szCs w:val="20"/>
          <w:color w:val="auto"/>
        </w:rPr>
      </w:pPr>
    </w:p>
    <w:p>
      <w:pPr>
        <w:ind w:left="1380" w:right="1439" w:hanging="8"/>
        <w:spacing w:after="0" w:line="237" w:lineRule="auto"/>
        <w:tabs>
          <w:tab w:leader="none" w:pos="158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Certificate of Incorporation provides for this limitation of liability.</w:t>
      </w:r>
    </w:p>
    <w:p>
      <w:pPr>
        <w:spacing w:after="0" w:line="93" w:lineRule="exact"/>
        <w:rPr>
          <w:sz w:val="20"/>
          <w:szCs w:val="20"/>
          <w:color w:val="auto"/>
        </w:rPr>
      </w:pPr>
    </w:p>
    <w:p>
      <w:pPr>
        <w:ind w:left="1380" w:right="1399" w:firstLine="275"/>
        <w:spacing w:after="0" w:line="236" w:lineRule="auto"/>
        <w:rPr>
          <w:sz w:val="20"/>
          <w:szCs w:val="20"/>
          <w:color w:val="auto"/>
        </w:rPr>
      </w:pPr>
      <w:r>
        <w:rPr>
          <w:rFonts w:ascii="Times New Roman" w:cs="Times New Roman" w:eastAsia="Times New Roman" w:hAnsi="Times New Roman"/>
          <w:sz w:val="14"/>
          <w:szCs w:val="14"/>
          <w:color w:val="auto"/>
        </w:rPr>
        <w:t>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Where an officer or director is successful on the merits or otherwise in the defense of any action referred to above, the corporation must indemnify him against the expenses which such officer or director has actually and reasonably incurred. 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under Section 145. Each of the directors and officers of the Company are covered by insurance policies maintained and held in effect by the Company against certain liabilities for actions taken in such capacities, including liabilities under the Securities Act of 1933.</w:t>
      </w:r>
    </w:p>
    <w:p>
      <w:pPr>
        <w:spacing w:after="0" w:line="96" w:lineRule="exact"/>
        <w:rPr>
          <w:sz w:val="20"/>
          <w:szCs w:val="20"/>
          <w:color w:val="auto"/>
        </w:rPr>
      </w:pPr>
    </w:p>
    <w:p>
      <w:pPr>
        <w:ind w:left="1380" w:right="1419" w:firstLine="275"/>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Certificate of Incorporation and Bylaws. </w:t>
      </w:r>
      <w:r>
        <w:rPr>
          <w:rFonts w:ascii="Times New Roman" w:cs="Times New Roman" w:eastAsia="Times New Roman" w:hAnsi="Times New Roman"/>
          <w:sz w:val="14"/>
          <w:szCs w:val="14"/>
          <w:color w:val="auto"/>
        </w:rPr>
        <w:t>Article Ninth of the Certificate of Incorporation provides that,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 director of the Company shall be liable to the Company or its stockholders for monetary damages arising from a breach of such director’s fiduciary duty as a director owed to the Company or its stockholders, except to the extent that such exemption from liability or limitation thereof is not permitted under the DGCL.</w:t>
      </w:r>
    </w:p>
    <w:p>
      <w:pPr>
        <w:spacing w:after="0" w:line="2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Article VI of the Bylaws provides that, to the extent permitted by the DGCL, the Company shall</w:t>
      </w:r>
    </w:p>
    <w:p>
      <w:pPr>
        <w:spacing w:after="0" w:line="17" w:lineRule="exact"/>
        <w:rPr>
          <w:sz w:val="20"/>
          <w:szCs w:val="20"/>
          <w:color w:val="auto"/>
        </w:rPr>
      </w:pPr>
    </w:p>
    <w:p>
      <w:pPr>
        <w:ind w:left="1380" w:right="1399"/>
        <w:spacing w:after="0" w:line="236" w:lineRule="auto"/>
        <w:rPr>
          <w:sz w:val="20"/>
          <w:szCs w:val="20"/>
          <w:color w:val="auto"/>
        </w:rPr>
      </w:pPr>
      <w:r>
        <w:rPr>
          <w:rFonts w:ascii="Times New Roman" w:cs="Times New Roman" w:eastAsia="Times New Roman" w:hAnsi="Times New Roman"/>
          <w:sz w:val="14"/>
          <w:szCs w:val="14"/>
          <w:color w:val="auto"/>
        </w:rPr>
        <w:t>indemnify any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Company or is or was serving at the request of the corporation as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reasonably believed to be in or not opposed to the best interests of the Company, and, with respect to any criminal action or proceeding, had no reasonable cause to believe his or her conduct was unlawful. Under the DGCL, the termination of any action, suit or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interests of the Company, and with respect to any criminal action or proceeding, had reasonable cause to believe that his or her conduct was unlawful and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3" w:name="page54"/>
    <w:bookmarkEnd w:id="53"/>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right="1419"/>
        <w:spacing w:after="0" w:line="247" w:lineRule="auto"/>
        <w:rPr>
          <w:sz w:val="20"/>
          <w:szCs w:val="20"/>
          <w:color w:val="auto"/>
        </w:rPr>
      </w:pPr>
      <w:r>
        <w:rPr>
          <w:rFonts w:ascii="Times New Roman" w:cs="Times New Roman" w:eastAsia="Times New Roman" w:hAnsi="Times New Roman"/>
          <w:sz w:val="14"/>
          <w:szCs w:val="14"/>
          <w:color w:val="auto"/>
        </w:rPr>
        <w:t>application that, despite the adjudication of liability but in view of all the circumstances of the case, such person is fairly and reasonably entitled to indemnity for such expenses which the Court of Chancery or such other court shall deem proper. To the extent that a director, officer, employee or agent of the Company has been successful on the merits or otherwise in defense of any action, suit or proceeding referred to above, or in defense of any claim, issue or matter therein, he or she shall be indemnified against expenses (including attorneys’ fees) actually and reasonably incurred by him or her in connection therewith. Any indemnification (unless ordered by a court) shall be made by the Company only upon a determination in the specific case that indemnification of the director, officer, employee or agent is proper in the circumstances because he or she has met the applicable standard of conduct set forth above. Such determination shall be made (a) by the Board of Directors by a majority vote of a quorum consisting of directors who were not parties to such action, suit or proceedings, (b) by a committee of such directors designated by a majority vote of such directors, even though less than a quorum, (c) if such quorum is not obtainable, or, even if obtainable and a quorum of disinterested directors so directs, by independent legal counsel (compensated by the Company) in a written opinion, or (d) by the stockholders.</w:t>
      </w:r>
    </w:p>
    <w:p>
      <w:pPr>
        <w:spacing w:after="0" w:line="102" w:lineRule="exact"/>
        <w:rPr>
          <w:sz w:val="20"/>
          <w:szCs w:val="20"/>
          <w:color w:val="auto"/>
        </w:rPr>
      </w:pPr>
    </w:p>
    <w:p>
      <w:pPr>
        <w:ind w:left="1380" w:right="1479" w:firstLine="275"/>
        <w:spacing w:after="0" w:line="271" w:lineRule="auto"/>
        <w:rPr>
          <w:sz w:val="20"/>
          <w:szCs w:val="20"/>
          <w:color w:val="auto"/>
        </w:rPr>
      </w:pPr>
      <w:r>
        <w:rPr>
          <w:rFonts w:ascii="Times New Roman" w:cs="Times New Roman" w:eastAsia="Times New Roman" w:hAnsi="Times New Roman"/>
          <w:sz w:val="14"/>
          <w:szCs w:val="14"/>
          <w:color w:val="auto"/>
        </w:rPr>
        <w:t>The foregoing description of the Company’s Certificate of Incorporation and Bylaws is qualified in its entirety by reference to each such document, which are listed as Exhibits 3.1 and 3.2 respectively, hereto.</w:t>
      </w:r>
    </w:p>
    <w:p>
      <w:pPr>
        <w:spacing w:after="0" w:line="76" w:lineRule="exact"/>
        <w:rPr>
          <w:sz w:val="20"/>
          <w:szCs w:val="20"/>
          <w:color w:val="auto"/>
        </w:rPr>
      </w:pPr>
    </w:p>
    <w:p>
      <w:pPr>
        <w:ind w:left="1380" w:right="1519" w:firstLine="275"/>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Liability Insurance</w:t>
      </w:r>
      <w:r>
        <w:rPr>
          <w:rFonts w:ascii="Times New Roman" w:cs="Times New Roman" w:eastAsia="Times New Roman" w:hAnsi="Times New Roman"/>
          <w:sz w:val="14"/>
          <w:szCs w:val="14"/>
          <w:color w:val="auto"/>
        </w:rPr>
        <w:t>. The Company maintains directors’ and officers’ liability insurance which covers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certain liabilities and expenses of its directors and officers and covers it for reimbursement of payments to our directors and officers in respect of such liabilities and expenses, in each case subject to certain limits and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4" w:name="page55"/>
    <w:bookmarkEnd w:id="54"/>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Item 21. Exhibits.</w:t>
      </w:r>
    </w:p>
    <w:p>
      <w:pPr>
        <w:spacing w:after="0" w:line="121" w:lineRule="exact"/>
        <w:rPr>
          <w:sz w:val="20"/>
          <w:szCs w:val="20"/>
          <w:color w:val="auto"/>
        </w:rPr>
      </w:pPr>
    </w:p>
    <w:p>
      <w:pPr>
        <w:ind w:left="1380" w:right="1459" w:firstLine="275"/>
        <w:spacing w:after="0" w:line="271" w:lineRule="auto"/>
        <w:rPr>
          <w:sz w:val="20"/>
          <w:szCs w:val="20"/>
          <w:color w:val="auto"/>
        </w:rPr>
      </w:pPr>
      <w:r>
        <w:rPr>
          <w:rFonts w:ascii="Times New Roman" w:cs="Times New Roman" w:eastAsia="Times New Roman" w:hAnsi="Times New Roman"/>
          <w:sz w:val="14"/>
          <w:szCs w:val="14"/>
          <w:color w:val="auto"/>
        </w:rPr>
        <w:t>The following exhibits are filed herewith or are incorporated herein by reference to other filings of the Registrant.</w:t>
      </w:r>
    </w:p>
    <w:p>
      <w:pPr>
        <w:sectPr>
          <w:pgSz w:w="11900" w:h="16838" w:orient="portrait"/>
          <w:cols w:equalWidth="0" w:num="1">
            <w:col w:w="9019"/>
          </w:cols>
          <w:pgMar w:left="1440" w:top="103" w:right="1440" w:bottom="1440" w:gutter="0" w:footer="0" w:header="0"/>
        </w:sectPr>
      </w:pP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1"/>
          <w:szCs w:val="11"/>
          <w:b w:val="1"/>
          <w:bCs w:val="1"/>
          <w:color w:val="auto"/>
        </w:rPr>
        <w:t>Exhibit</w:t>
      </w:r>
    </w:p>
    <w:p>
      <w:pPr>
        <w:ind w:left="138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8"/>
          <w:szCs w:val="18"/>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0</wp:posOffset>
            </wp:positionV>
            <wp:extent cx="397827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3978275" cy="6350"/>
                    </a:xfrm>
                    <a:prstGeom prst="rect">
                      <a:avLst/>
                    </a:prstGeom>
                    <a:noFill/>
                  </pic:spPr>
                </pic:pic>
              </a:graphicData>
            </a:graphic>
          </wp:anchor>
        </w:drawing>
      </w:r>
    </w:p>
    <w:p>
      <w:pPr>
        <w:jc w:val="both"/>
        <w:ind w:left="1760" w:hanging="535"/>
        <w:spacing w:after="0" w:line="260" w:lineRule="auto"/>
        <w:tabs>
          <w:tab w:leader="none" w:pos="17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3.1</w:t>
        <w:tab/>
        <w:t xml:space="preserve">​ ​ </w:t>
      </w:r>
      <w:hyperlink r:id="rId103">
        <w:r>
          <w:rPr>
            <w:rFonts w:ascii="Times New Roman" w:cs="Times New Roman" w:eastAsia="Times New Roman" w:hAnsi="Times New Roman"/>
            <w:sz w:val="14"/>
            <w:szCs w:val="14"/>
            <w:u w:val="single" w:color="auto"/>
            <w:color w:val="0000EE"/>
          </w:rPr>
          <w:t>Restated Certificate of Incorporation of HBT Financial, Inc. (incorporated by reference to</w:t>
        </w:r>
      </w:hyperlink>
      <w:r>
        <w:rPr>
          <w:rFonts w:ascii="Times New Roman" w:cs="Times New Roman" w:eastAsia="Times New Roman" w:hAnsi="Times New Roman"/>
          <w:sz w:val="14"/>
          <w:szCs w:val="14"/>
          <w:color w:val="auto"/>
        </w:rPr>
        <w:t xml:space="preserve"> </w:t>
      </w:r>
      <w:hyperlink r:id="rId103">
        <w:r>
          <w:rPr>
            <w:rFonts w:ascii="Times New Roman" w:cs="Times New Roman" w:eastAsia="Times New Roman" w:hAnsi="Times New Roman"/>
            <w:sz w:val="14"/>
            <w:szCs w:val="14"/>
            <w:u w:val="single" w:color="auto"/>
            <w:color w:val="0000EE"/>
          </w:rPr>
          <w:t>Exhibit 4.1 to the Company’s Registration Statement on Form S-8, filed with the SEC on</w:t>
        </w:r>
      </w:hyperlink>
      <w:r>
        <w:rPr>
          <w:rFonts w:ascii="Times New Roman" w:cs="Times New Roman" w:eastAsia="Times New Roman" w:hAnsi="Times New Roman"/>
          <w:sz w:val="14"/>
          <w:szCs w:val="14"/>
          <w:u w:val="single" w:color="auto"/>
          <w:color w:val="0000EE"/>
        </w:rPr>
        <w:t xml:space="preserve"> </w:t>
      </w:r>
      <w:hyperlink r:id="rId103">
        <w:r>
          <w:rPr>
            <w:rFonts w:ascii="Times New Roman" w:cs="Times New Roman" w:eastAsia="Times New Roman" w:hAnsi="Times New Roman"/>
            <w:sz w:val="14"/>
            <w:szCs w:val="14"/>
            <w:u w:val="single" w:color="auto"/>
            <w:color w:val="0000EE"/>
          </w:rPr>
          <w:t>October 30, 2019).</w:t>
        </w:r>
      </w:hyperlink>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218"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17"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64" w:lineRule="exact"/>
        <w:rPr>
          <w:rFonts w:ascii="Times New Roman" w:cs="Times New Roman" w:eastAsia="Times New Roman" w:hAnsi="Times New Roman"/>
          <w:sz w:val="14"/>
          <w:szCs w:val="14"/>
          <w:color w:val="auto"/>
        </w:rPr>
      </w:pPr>
    </w:p>
    <w:p>
      <w:pPr>
        <w:sectPr>
          <w:pgSz w:w="11900" w:h="16838" w:orient="portrait"/>
          <w:cols w:equalWidth="0" w:num="2">
            <w:col w:w="7080" w:space="560"/>
            <w:col w:w="1379"/>
          </w:cols>
          <w:pgMar w:left="1440" w:top="103" w:right="1440" w:bottom="1440" w:gutter="0" w:footer="0" w:header="0"/>
          <w:type w:val="continuous"/>
        </w:sectPr>
      </w:pPr>
    </w:p>
    <w:tbl>
      <w:tblPr>
        <w:tblLayout w:type="fixed"/>
        <w:tblInd w:w="1380" w:type="dxa"/>
        <w:tblCellMar>
          <w:top w:w="0" w:type="dxa"/>
          <w:left w:w="0" w:type="dxa"/>
          <w:bottom w:w="0" w:type="dxa"/>
          <w:right w:w="0" w:type="dxa"/>
        </w:tblCellMar>
      </w:tblPr>
      <w:tr>
        <w:trPr>
          <w:trHeight w:val="164"/>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6000" w:type="dxa"/>
            <w:vAlign w:val="bottom"/>
            <w:gridSpan w:val="7"/>
          </w:tcPr>
          <w:p>
            <w:pPr>
              <w:ind w:left="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104">
              <w:r>
                <w:rPr>
                  <w:rFonts w:ascii="Times New Roman" w:cs="Times New Roman" w:eastAsia="Times New Roman" w:hAnsi="Times New Roman"/>
                  <w:sz w:val="14"/>
                  <w:szCs w:val="14"/>
                  <w:color w:val="0000EE"/>
                </w:rPr>
                <w:t>Amended and Restated Bylaws of HBT Financial, Inc. (incorporated by reference to Exhibit 4.2 to</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w:t>
            </w:r>
          </w:p>
        </w:tc>
      </w:tr>
      <w:tr>
        <w:trPr>
          <w:trHeight w:val="145"/>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40" w:type="dxa"/>
            <w:vAlign w:val="bottom"/>
            <w:tcBorders>
              <w:top w:val="single" w:sz="8" w:color="0000EE"/>
              <w:bottom w:val="single" w:sz="8" w:color="0000EE"/>
            </w:tcBorders>
            <w:gridSpan w:val="3"/>
          </w:tcPr>
          <w:p>
            <w:pPr>
              <w:spacing w:after="0" w:line="145"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the Company’s Registration Statement on Form S-8, filed with the SEC on October 30, 2019).</w:t>
              </w:r>
            </w:hyperlink>
          </w:p>
        </w:tc>
        <w:tc>
          <w:tcPr>
            <w:tcW w:w="240" w:type="dxa"/>
            <w:vAlign w:val="bottom"/>
            <w:tcBorders>
              <w:top w:val="single" w:sz="8" w:color="0000EE"/>
            </w:tcBorders>
            <w:gridSpan w:val="2"/>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6000" w:type="dxa"/>
            <w:vAlign w:val="bottom"/>
            <w:gridSpan w:val="7"/>
          </w:tcPr>
          <w:p>
            <w:pPr>
              <w:ind w:left="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105">
              <w:r>
                <w:rPr>
                  <w:rFonts w:ascii="Times New Roman" w:cs="Times New Roman" w:eastAsia="Times New Roman" w:hAnsi="Times New Roman"/>
                  <w:sz w:val="14"/>
                  <w:szCs w:val="14"/>
                  <w:color w:val="0000EE"/>
                </w:rPr>
                <w:t>Indenture, dated March 11, 2026, by and between HBT Financial, Inc. and UMB Bank, N.A., as</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w:t>
            </w:r>
          </w:p>
        </w:tc>
      </w:tr>
      <w:tr>
        <w:trPr>
          <w:trHeight w:val="145"/>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320" w:type="dxa"/>
            <w:vAlign w:val="bottom"/>
            <w:tcBorders>
              <w:top w:val="single" w:sz="8" w:color="0000EE"/>
              <w:bottom w:val="single" w:sz="8" w:color="0000EE"/>
            </w:tcBorders>
            <w:gridSpan w:val="2"/>
          </w:tcPr>
          <w:p>
            <w:pPr>
              <w:spacing w:after="0" w:line="145"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trustee (incorporated herein by reference to Exhibit 4.1 to the Company’s Current Report on</w:t>
              </w:r>
            </w:hyperlink>
          </w:p>
        </w:tc>
        <w:tc>
          <w:tcPr>
            <w:tcW w:w="220" w:type="dxa"/>
            <w:vAlign w:val="bottom"/>
            <w:tcBorders>
              <w:top w:val="single" w:sz="8" w:color="0000EE"/>
            </w:tcBorders>
            <w:gridSpan w:val="2"/>
          </w:tcPr>
          <w:p>
            <w:pPr>
              <w:spacing w:after="0"/>
              <w:rPr>
                <w:sz w:val="12"/>
                <w:szCs w:val="12"/>
                <w:color w:val="auto"/>
              </w:rPr>
            </w:pPr>
          </w:p>
        </w:tc>
        <w:tc>
          <w:tcPr>
            <w:tcW w:w="240" w:type="dxa"/>
            <w:vAlign w:val="bottom"/>
            <w:gridSpan w:val="2"/>
          </w:tcPr>
          <w:p>
            <w:pPr>
              <w:spacing w:after="0"/>
              <w:rPr>
                <w:sz w:val="12"/>
                <w:szCs w:val="12"/>
                <w:color w:val="auto"/>
              </w:rPr>
            </w:pPr>
          </w:p>
        </w:tc>
      </w:tr>
      <w:tr>
        <w:trPr>
          <w:trHeight w:val="145"/>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780" w:type="dxa"/>
            <w:vAlign w:val="bottom"/>
            <w:gridSpan w:val="6"/>
          </w:tcPr>
          <w:p>
            <w:pPr>
              <w:spacing w:after="0" w:line="145"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Form 8-K filed with the SEC on March 11, 2026).</w:t>
              </w:r>
            </w:hyperlink>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 w:lineRule="exact"/>
        <w:rPr>
          <w:sz w:val="20"/>
          <w:szCs w:val="20"/>
          <w:color w:val="auto"/>
        </w:rPr>
      </w:pPr>
    </w:p>
    <w:p>
      <w:pPr>
        <w:sectPr>
          <w:pgSz w:w="11900" w:h="16838" w:orient="portrait"/>
          <w:cols w:equalWidth="0" w:num="1">
            <w:col w:w="9019"/>
          </w:cols>
          <w:pgMar w:left="1440" w:top="103" w:right="1440" w:bottom="1440" w:gutter="0" w:footer="0" w:header="0"/>
          <w:type w:val="continuous"/>
        </w:sectPr>
      </w:pPr>
    </w:p>
    <w:p>
      <w:pPr>
        <w:spacing w:after="0" w:line="21" w:lineRule="exact"/>
        <w:rPr>
          <w:sz w:val="20"/>
          <w:szCs w:val="20"/>
          <w:color w:val="auto"/>
        </w:rPr>
      </w:pPr>
    </w:p>
    <w:p>
      <w:pPr>
        <w:ind w:left="1440" w:hanging="68"/>
        <w:spacing w:after="0"/>
        <w:tabs>
          <w:tab w:leader="none" w:pos="14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w:t>
      </w:r>
    </w:p>
    <w:p>
      <w:pPr>
        <w:spacing w:after="0" w:line="209" w:lineRule="exact"/>
        <w:rPr>
          <w:rFonts w:ascii="Times New Roman" w:cs="Times New Roman" w:eastAsia="Times New Roman" w:hAnsi="Times New Roman"/>
          <w:sz w:val="14"/>
          <w:szCs w:val="14"/>
          <w:color w:val="auto"/>
        </w:rPr>
      </w:pPr>
    </w:p>
    <w:p>
      <w:pPr>
        <w:ind w:left="1440" w:hanging="68"/>
        <w:spacing w:after="0"/>
        <w:tabs>
          <w:tab w:leader="none" w:pos="14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br w:type="column"/>
      </w:r>
    </w:p>
    <w:p>
      <w:pPr>
        <w:ind w:right="1339" w:hanging="153"/>
        <w:spacing w:after="0" w:line="276"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105">
        <w:r>
          <w:rPr>
            <w:rFonts w:ascii="Times New Roman" w:cs="Times New Roman" w:eastAsia="Times New Roman" w:hAnsi="Times New Roman"/>
            <w:sz w:val="14"/>
            <w:szCs w:val="14"/>
            <w:u w:val="single" w:color="auto"/>
            <w:color w:val="0000EE"/>
          </w:rPr>
          <w:t>Forms of 5.75% Fixed-to-Floating Rate Subordinated Notes due 2036 (included as Exhibit A-1 and</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 </w:t>
      </w:r>
      <w:hyperlink r:id="rId105">
        <w:r>
          <w:rPr>
            <w:rFonts w:ascii="Times New Roman" w:cs="Times New Roman" w:eastAsia="Times New Roman" w:hAnsi="Times New Roman"/>
            <w:sz w:val="14"/>
            <w:szCs w:val="14"/>
            <w:u w:val="single" w:color="auto"/>
            <w:color w:val="0000EE"/>
          </w:rPr>
          <w:t>Exhibit A-2 to the Indenture incorporated herein by reference as Exhibit 4.1 hereto).</w:t>
        </w:r>
      </w:hyperlink>
    </w:p>
    <w:p>
      <w:pPr>
        <w:spacing w:after="0" w:line="1" w:lineRule="exact"/>
        <w:rPr>
          <w:sz w:val="20"/>
          <w:szCs w:val="20"/>
          <w:color w:val="auto"/>
        </w:rPr>
      </w:pPr>
    </w:p>
    <w:p>
      <w:pPr>
        <w:ind w:right="1339" w:hanging="153"/>
        <w:spacing w:after="0" w:line="262"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106">
        <w:r>
          <w:rPr>
            <w:rFonts w:ascii="Times New Roman" w:cs="Times New Roman" w:eastAsia="Times New Roman" w:hAnsi="Times New Roman"/>
            <w:sz w:val="14"/>
            <w:szCs w:val="14"/>
            <w:u w:val="single" w:color="auto"/>
            <w:color w:val="0000EE"/>
          </w:rPr>
          <w:t>Form of Registration Rights Agreement, dated March 11, 2026, by and among HBT Financial, Inc.</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 </w:t>
      </w:r>
      <w:hyperlink r:id="rId106">
        <w:r>
          <w:rPr>
            <w:rFonts w:ascii="Times New Roman" w:cs="Times New Roman" w:eastAsia="Times New Roman" w:hAnsi="Times New Roman"/>
            <w:sz w:val="14"/>
            <w:szCs w:val="14"/>
            <w:u w:val="single" w:color="auto"/>
            <w:color w:val="0000EE"/>
          </w:rPr>
          <w:t>and the Purchasers signatory thereto (incorporated herein by reference to Exhibit 10.2 to the</w:t>
        </w:r>
      </w:hyperlink>
      <w:r>
        <w:rPr>
          <w:rFonts w:ascii="Times New Roman" w:cs="Times New Roman" w:eastAsia="Times New Roman" w:hAnsi="Times New Roman"/>
          <w:sz w:val="14"/>
          <w:szCs w:val="14"/>
          <w:u w:val="single" w:color="auto"/>
          <w:color w:val="0000EE"/>
        </w:rPr>
        <w:t xml:space="preserve"> </w:t>
      </w:r>
      <w:hyperlink r:id="rId106">
        <w:r>
          <w:rPr>
            <w:rFonts w:ascii="Times New Roman" w:cs="Times New Roman" w:eastAsia="Times New Roman" w:hAnsi="Times New Roman"/>
            <w:sz w:val="14"/>
            <w:szCs w:val="14"/>
            <w:u w:val="single" w:color="auto"/>
            <w:color w:val="0000EE"/>
          </w:rPr>
          <w:t>Company’s Current Report on Form 8-K filed with the SEC on March 11, 2026).</w:t>
        </w:r>
      </w:hyperlink>
    </w:p>
    <w:p>
      <w:pPr>
        <w:spacing w:after="0" w:line="1" w:lineRule="exact"/>
        <w:rPr>
          <w:rFonts w:ascii="Times New Roman" w:cs="Times New Roman" w:eastAsia="Times New Roman" w:hAnsi="Times New Roman"/>
          <w:sz w:val="14"/>
          <w:szCs w:val="14"/>
          <w:color w:val="auto"/>
        </w:rPr>
      </w:pPr>
    </w:p>
    <w:p>
      <w:pPr>
        <w:sectPr>
          <w:pgSz w:w="11900" w:h="16838" w:orient="portrait"/>
          <w:cols w:equalWidth="0" w:num="2">
            <w:col w:w="1620" w:space="280"/>
            <w:col w:w="7119"/>
          </w:cols>
          <w:pgMar w:left="1440" w:top="103" w:right="1440" w:bottom="1440" w:gutter="0" w:footer="0" w:header="0"/>
          <w:type w:val="continuous"/>
        </w:sectPr>
      </w:pPr>
    </w:p>
    <w:tbl>
      <w:tblPr>
        <w:tblLayout w:type="fixed"/>
        <w:tblInd w:w="1380" w:type="dxa"/>
        <w:tblCellMar>
          <w:top w:w="0" w:type="dxa"/>
          <w:left w:w="0" w:type="dxa"/>
          <w:bottom w:w="0" w:type="dxa"/>
          <w:right w:w="0" w:type="dxa"/>
        </w:tblCellMar>
      </w:tblPr>
      <w:tr>
        <w:trPr>
          <w:trHeight w:val="186"/>
        </w:trPr>
        <w:tc>
          <w:tcPr>
            <w:tcW w:w="30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 5.1</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4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Opinion of Barack Ferrazzano Kirschbaum &amp; Nagelberg LLP (filed herewith)</w:t>
            </w:r>
            <w:r>
              <w:rPr>
                <w:rFonts w:ascii="Times New Roman" w:cs="Times New Roman" w:eastAsia="Times New Roman" w:hAnsi="Times New Roman"/>
                <w:sz w:val="14"/>
                <w:szCs w:val="14"/>
                <w:color w:val="000000"/>
              </w:rPr>
              <w:t>.</w:t>
            </w:r>
          </w:p>
        </w:tc>
        <w:tc>
          <w:tcPr>
            <w:tcW w:w="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45"/>
        </w:trPr>
        <w:tc>
          <w:tcPr>
            <w:tcW w:w="3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80" w:type="dxa"/>
            <w:vAlign w:val="bottom"/>
            <w:gridSpan w:val="10"/>
            <w:vMerge w:val="restart"/>
          </w:tcPr>
          <w:p>
            <w:pPr>
              <w:spacing w:after="0"/>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Subsidiaries of HBT Financial, Inc. (incorporated herein by reference to Exhibit 21.1 to the</w:t>
              </w:r>
            </w:hyperlink>
          </w:p>
        </w:tc>
        <w:tc>
          <w:tcPr>
            <w:tcW w:w="160" w:type="dxa"/>
            <w:vAlign w:val="bottom"/>
            <w:vMerge w:val="restart"/>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00" w:type="dxa"/>
            <w:vAlign w:val="bottom"/>
          </w:tcPr>
          <w:p>
            <w:pPr>
              <w:spacing w:after="0" w:line="31" w:lineRule="exact"/>
              <w:rPr>
                <w:sz w:val="20"/>
                <w:szCs w:val="20"/>
                <w:color w:val="auto"/>
              </w:rPr>
            </w:pPr>
            <w:r>
              <w:rPr>
                <w:rFonts w:ascii="Times New Roman" w:cs="Times New Roman" w:eastAsia="Times New Roman" w:hAnsi="Times New Roman"/>
                <w:sz w:val="3"/>
                <w:szCs w:val="3"/>
                <w:color w:val="auto"/>
              </w:rPr>
              <w:t>21.1</w:t>
            </w:r>
          </w:p>
        </w:tc>
        <w:tc>
          <w:tcPr>
            <w:tcW w:w="220" w:type="dxa"/>
            <w:vAlign w:val="bottom"/>
          </w:tcPr>
          <w:p>
            <w:pPr>
              <w:spacing w:after="0"/>
              <w:rPr>
                <w:sz w:val="2"/>
                <w:szCs w:val="2"/>
                <w:color w:val="auto"/>
              </w:rPr>
            </w:pPr>
          </w:p>
        </w:tc>
        <w:tc>
          <w:tcPr>
            <w:tcW w:w="5280" w:type="dxa"/>
            <w:vAlign w:val="bottom"/>
            <w:tcBorders>
              <w:bottom w:val="single" w:sz="8" w:color="0000EE"/>
            </w:tcBorders>
            <w:gridSpan w:val="10"/>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440" w:type="dxa"/>
            <w:vAlign w:val="bottom"/>
            <w:gridSpan w:val="11"/>
          </w:tcPr>
          <w:p>
            <w:pPr>
              <w:spacing w:after="0" w:line="145" w:lineRule="exact"/>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Company’s Annual Report on Form 10-K filed with the SEC on March 6, 2026).</w:t>
              </w:r>
            </w:hyperlink>
          </w:p>
        </w:tc>
        <w:tc>
          <w:tcPr>
            <w:tcW w:w="3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3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640" w:type="dxa"/>
            <w:vAlign w:val="bottom"/>
            <w:tcBorders>
              <w:top w:val="single" w:sz="8" w:color="0000EE"/>
            </w:tcBorders>
            <w:gridSpan w:val="7"/>
            <w:vMerge w:val="restart"/>
          </w:tcPr>
          <w:p>
            <w:pPr>
              <w:spacing w:after="0"/>
              <w:rPr>
                <w:sz w:val="20"/>
                <w:szCs w:val="20"/>
                <w:color w:val="auto"/>
              </w:rPr>
            </w:pPr>
            <w:r>
              <w:rPr>
                <w:rFonts w:ascii="Times New Roman" w:cs="Times New Roman" w:eastAsia="Times New Roman" w:hAnsi="Times New Roman"/>
                <w:sz w:val="14"/>
                <w:szCs w:val="14"/>
                <w:color w:val="0000EE"/>
              </w:rPr>
              <w:t>Consent of RSM US LLP (filed herewith)</w:t>
            </w:r>
            <w:r>
              <w:rPr>
                <w:rFonts w:ascii="Times New Roman" w:cs="Times New Roman" w:eastAsia="Times New Roman" w:hAnsi="Times New Roman"/>
                <w:sz w:val="14"/>
                <w:szCs w:val="14"/>
                <w:color w:val="000000"/>
              </w:rPr>
              <w:t>.</w:t>
            </w:r>
          </w:p>
        </w:tc>
        <w:tc>
          <w:tcPr>
            <w:tcW w:w="800" w:type="dxa"/>
            <w:vAlign w:val="bottom"/>
            <w:gridSpan w:val="4"/>
            <w:vMerge w:val="restart"/>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0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23.1</w:t>
            </w:r>
          </w:p>
        </w:tc>
        <w:tc>
          <w:tcPr>
            <w:tcW w:w="220" w:type="dxa"/>
            <w:vAlign w:val="bottom"/>
          </w:tcPr>
          <w:p>
            <w:pPr>
              <w:spacing w:after="0"/>
              <w:rPr>
                <w:sz w:val="4"/>
                <w:szCs w:val="4"/>
                <w:color w:val="auto"/>
              </w:rPr>
            </w:pPr>
          </w:p>
        </w:tc>
        <w:tc>
          <w:tcPr>
            <w:tcW w:w="4640" w:type="dxa"/>
            <w:vAlign w:val="bottom"/>
            <w:gridSpan w:val="7"/>
            <w:vMerge w:val="continue"/>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45"/>
        </w:trPr>
        <w:tc>
          <w:tcPr>
            <w:tcW w:w="3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44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color w:val="0000EE"/>
              </w:rPr>
              <w:t>Consent of Barack Ferrazzano Kirschbaum &amp; Nagelberg LLP (included in the opinion filed as</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00" w:type="dxa"/>
            <w:vAlign w:val="bottom"/>
          </w:tcPr>
          <w:p>
            <w:pPr>
              <w:spacing w:after="0" w:line="31" w:lineRule="exact"/>
              <w:rPr>
                <w:sz w:val="20"/>
                <w:szCs w:val="20"/>
                <w:color w:val="auto"/>
              </w:rPr>
            </w:pPr>
            <w:r>
              <w:rPr>
                <w:rFonts w:ascii="Times New Roman" w:cs="Times New Roman" w:eastAsia="Times New Roman" w:hAnsi="Times New Roman"/>
                <w:sz w:val="3"/>
                <w:szCs w:val="3"/>
                <w:color w:val="auto"/>
              </w:rPr>
              <w:t>23.2</w:t>
            </w:r>
          </w:p>
        </w:tc>
        <w:tc>
          <w:tcPr>
            <w:tcW w:w="220" w:type="dxa"/>
            <w:vAlign w:val="bottom"/>
          </w:tcPr>
          <w:p>
            <w:pPr>
              <w:spacing w:after="0"/>
              <w:rPr>
                <w:sz w:val="2"/>
                <w:szCs w:val="2"/>
                <w:color w:val="auto"/>
              </w:rPr>
            </w:pPr>
          </w:p>
        </w:tc>
        <w:tc>
          <w:tcPr>
            <w:tcW w:w="5440" w:type="dxa"/>
            <w:vAlign w:val="bottom"/>
            <w:tcBorders>
              <w:bottom w:val="single" w:sz="8" w:color="0000EE"/>
            </w:tcBorders>
            <w:gridSpan w:val="11"/>
            <w:vMerge w:val="continue"/>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40" w:type="dxa"/>
            <w:vAlign w:val="bottom"/>
            <w:gridSpan w:val="11"/>
          </w:tcPr>
          <w:p>
            <w:pPr>
              <w:spacing w:after="0" w:line="145" w:lineRule="exact"/>
              <w:rPr>
                <w:sz w:val="20"/>
                <w:szCs w:val="20"/>
                <w:color w:val="auto"/>
              </w:rPr>
            </w:pPr>
            <w:r>
              <w:rPr>
                <w:rFonts w:ascii="Times New Roman" w:cs="Times New Roman" w:eastAsia="Times New Roman" w:hAnsi="Times New Roman"/>
                <w:sz w:val="14"/>
                <w:szCs w:val="14"/>
                <w:color w:val="0000EE"/>
              </w:rPr>
              <w:t>Exhibit 5.1)</w:t>
            </w:r>
            <w:r>
              <w:rPr>
                <w:rFonts w:ascii="Times New Roman" w:cs="Times New Roman" w:eastAsia="Times New Roman" w:hAnsi="Times New Roman"/>
                <w:sz w:val="14"/>
                <w:szCs w:val="14"/>
                <w:color w:val="000000"/>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55"/>
        </w:trPr>
        <w:tc>
          <w:tcPr>
            <w:tcW w:w="3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12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0000EE"/>
              </w:rPr>
              <w:t>Power of Attorney (included in Part II as a part of the signature page of this Registration</w:t>
            </w:r>
          </w:p>
        </w:tc>
        <w:tc>
          <w:tcPr>
            <w:tcW w:w="320" w:type="dxa"/>
            <w:vAlign w:val="bottom"/>
            <w:gridSpan w:val="2"/>
            <w:vMerge w:val="restart"/>
          </w:tcPr>
          <w:p>
            <w:pPr>
              <w:spacing w:after="0"/>
              <w:rPr>
                <w:sz w:val="13"/>
                <w:szCs w:val="13"/>
                <w:color w:val="auto"/>
              </w:rPr>
            </w:pP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00" w:type="dxa"/>
            <w:vAlign w:val="bottom"/>
          </w:tcPr>
          <w:p>
            <w:pPr>
              <w:spacing w:after="0" w:line="31" w:lineRule="exact"/>
              <w:rPr>
                <w:sz w:val="20"/>
                <w:szCs w:val="20"/>
                <w:color w:val="auto"/>
              </w:rPr>
            </w:pPr>
            <w:r>
              <w:rPr>
                <w:rFonts w:ascii="Times New Roman" w:cs="Times New Roman" w:eastAsia="Times New Roman" w:hAnsi="Times New Roman"/>
                <w:sz w:val="3"/>
                <w:szCs w:val="3"/>
                <w:color w:val="auto"/>
              </w:rPr>
              <w:t>24.1</w:t>
            </w:r>
          </w:p>
        </w:tc>
        <w:tc>
          <w:tcPr>
            <w:tcW w:w="220" w:type="dxa"/>
            <w:vAlign w:val="bottom"/>
          </w:tcPr>
          <w:p>
            <w:pPr>
              <w:spacing w:after="0"/>
              <w:rPr>
                <w:sz w:val="2"/>
                <w:szCs w:val="2"/>
                <w:color w:val="auto"/>
              </w:rPr>
            </w:pPr>
          </w:p>
        </w:tc>
        <w:tc>
          <w:tcPr>
            <w:tcW w:w="5120" w:type="dxa"/>
            <w:vAlign w:val="bottom"/>
            <w:tcBorders>
              <w:bottom w:val="single" w:sz="8" w:color="0000EE"/>
            </w:tcBorders>
            <w:gridSpan w:val="9"/>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40" w:type="dxa"/>
            <w:vAlign w:val="bottom"/>
            <w:gridSpan w:val="11"/>
          </w:tcPr>
          <w:p>
            <w:pPr>
              <w:spacing w:after="0" w:line="145" w:lineRule="exact"/>
              <w:rPr>
                <w:sz w:val="20"/>
                <w:szCs w:val="20"/>
                <w:color w:val="auto"/>
              </w:rPr>
            </w:pPr>
            <w:r>
              <w:rPr>
                <w:rFonts w:ascii="Times New Roman" w:cs="Times New Roman" w:eastAsia="Times New Roman" w:hAnsi="Times New Roman"/>
                <w:sz w:val="14"/>
                <w:szCs w:val="14"/>
                <w:color w:val="0000EE"/>
              </w:rPr>
              <w:t>Statement)</w:t>
            </w:r>
            <w:r>
              <w:rPr>
                <w:rFonts w:ascii="Times New Roman" w:cs="Times New Roman" w:eastAsia="Times New Roman" w:hAnsi="Times New Roman"/>
                <w:sz w:val="14"/>
                <w:szCs w:val="14"/>
                <w:color w:val="000000"/>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55"/>
        </w:trPr>
        <w:tc>
          <w:tcPr>
            <w:tcW w:w="3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44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color w:val="0000EE"/>
              </w:rPr>
              <w:t>Form T-1 Statement of Eligibility under the Trust Indenture Act of 1939, as amended, of</w:t>
            </w:r>
          </w:p>
        </w:tc>
        <w:tc>
          <w:tcPr>
            <w:tcW w:w="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300" w:type="dxa"/>
            <w:vAlign w:val="bottom"/>
          </w:tcPr>
          <w:p>
            <w:pPr>
              <w:spacing w:after="0" w:line="31" w:lineRule="exact"/>
              <w:rPr>
                <w:sz w:val="20"/>
                <w:szCs w:val="20"/>
                <w:color w:val="auto"/>
              </w:rPr>
            </w:pPr>
            <w:r>
              <w:rPr>
                <w:rFonts w:ascii="Times New Roman" w:cs="Times New Roman" w:eastAsia="Times New Roman" w:hAnsi="Times New Roman"/>
                <w:sz w:val="3"/>
                <w:szCs w:val="3"/>
                <w:color w:val="auto"/>
              </w:rPr>
              <w:t>25.1</w:t>
            </w:r>
          </w:p>
        </w:tc>
        <w:tc>
          <w:tcPr>
            <w:tcW w:w="220" w:type="dxa"/>
            <w:vAlign w:val="bottom"/>
          </w:tcPr>
          <w:p>
            <w:pPr>
              <w:spacing w:after="0"/>
              <w:rPr>
                <w:sz w:val="2"/>
                <w:szCs w:val="2"/>
                <w:color w:val="auto"/>
              </w:rPr>
            </w:pPr>
          </w:p>
        </w:tc>
        <w:tc>
          <w:tcPr>
            <w:tcW w:w="5440" w:type="dxa"/>
            <w:vAlign w:val="bottom"/>
            <w:gridSpan w:val="11"/>
            <w:vMerge w:val="continue"/>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5100" w:type="dxa"/>
            <w:vAlign w:val="bottom"/>
            <w:tcBorders>
              <w:top w:val="single" w:sz="8" w:color="0000EE"/>
            </w:tcBorders>
            <w:gridSpan w:val="8"/>
          </w:tcPr>
          <w:p>
            <w:pPr>
              <w:spacing w:after="0" w:line="145" w:lineRule="exact"/>
              <w:rPr>
                <w:sz w:val="20"/>
                <w:szCs w:val="20"/>
                <w:color w:val="auto"/>
              </w:rPr>
            </w:pPr>
            <w:r>
              <w:rPr>
                <w:rFonts w:ascii="Times New Roman" w:cs="Times New Roman" w:eastAsia="Times New Roman" w:hAnsi="Times New Roman"/>
                <w:sz w:val="14"/>
                <w:szCs w:val="14"/>
                <w:color w:val="0000EE"/>
              </w:rPr>
              <w:t>UMB Bank, N.A. (filed herewith)</w:t>
            </w:r>
            <w:r>
              <w:rPr>
                <w:rFonts w:ascii="Times New Roman" w:cs="Times New Roman" w:eastAsia="Times New Roman" w:hAnsi="Times New Roman"/>
                <w:sz w:val="14"/>
                <w:szCs w:val="14"/>
                <w:color w:val="000000"/>
              </w:rPr>
              <w:t>.</w:t>
            </w:r>
          </w:p>
        </w:tc>
        <w:tc>
          <w:tcPr>
            <w:tcW w:w="340" w:type="dxa"/>
            <w:vAlign w:val="bottom"/>
            <w:gridSpan w:val="3"/>
          </w:tcPr>
          <w:p>
            <w:pPr>
              <w:spacing w:after="0"/>
              <w:rPr>
                <w:sz w:val="12"/>
                <w:szCs w:val="12"/>
                <w:color w:val="auto"/>
              </w:rPr>
            </w:pPr>
          </w:p>
        </w:tc>
        <w:tc>
          <w:tcPr>
            <w:tcW w:w="3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3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960" w:type="dxa"/>
            <w:vAlign w:val="bottom"/>
            <w:tcBorders>
              <w:top w:val="single" w:sz="8" w:color="0000EE"/>
            </w:tcBorders>
            <w:gridSpan w:val="4"/>
            <w:vMerge w:val="restart"/>
          </w:tcPr>
          <w:p>
            <w:pPr>
              <w:spacing w:after="0"/>
              <w:rPr>
                <w:sz w:val="20"/>
                <w:szCs w:val="20"/>
                <w:color w:val="auto"/>
              </w:rPr>
            </w:pPr>
            <w:r>
              <w:rPr>
                <w:rFonts w:ascii="Times New Roman" w:cs="Times New Roman" w:eastAsia="Times New Roman" w:hAnsi="Times New Roman"/>
                <w:sz w:val="14"/>
                <w:szCs w:val="14"/>
                <w:color w:val="0000EE"/>
              </w:rPr>
              <w:t>Filing Fee Table (filed herewith)</w:t>
            </w:r>
            <w:r>
              <w:rPr>
                <w:rFonts w:ascii="Times New Roman" w:cs="Times New Roman" w:eastAsia="Times New Roman" w:hAnsi="Times New Roman"/>
                <w:sz w:val="14"/>
                <w:szCs w:val="14"/>
                <w:color w:val="000000"/>
              </w:rPr>
              <w:t>.</w:t>
            </w:r>
          </w:p>
        </w:tc>
        <w:tc>
          <w:tcPr>
            <w:tcW w:w="3480" w:type="dxa"/>
            <w:vAlign w:val="bottom"/>
            <w:gridSpan w:val="7"/>
            <w:vMerge w:val="restart"/>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00" w:type="dxa"/>
            <w:vAlign w:val="bottom"/>
          </w:tcPr>
          <w:p>
            <w:pPr>
              <w:spacing w:after="0" w:line="52" w:lineRule="exact"/>
              <w:rPr>
                <w:sz w:val="20"/>
                <w:szCs w:val="20"/>
                <w:color w:val="auto"/>
              </w:rPr>
            </w:pPr>
            <w:r>
              <w:rPr>
                <w:rFonts w:ascii="Times New Roman" w:cs="Times New Roman" w:eastAsia="Times New Roman" w:hAnsi="Times New Roman"/>
                <w:sz w:val="5"/>
                <w:szCs w:val="5"/>
                <w:color w:val="auto"/>
              </w:rPr>
              <w:t>107</w:t>
            </w:r>
          </w:p>
        </w:tc>
        <w:tc>
          <w:tcPr>
            <w:tcW w:w="220" w:type="dxa"/>
            <w:vAlign w:val="bottom"/>
          </w:tcPr>
          <w:p>
            <w:pPr>
              <w:spacing w:after="0"/>
              <w:rPr>
                <w:sz w:val="4"/>
                <w:szCs w:val="4"/>
                <w:color w:val="auto"/>
              </w:rPr>
            </w:pPr>
          </w:p>
        </w:tc>
        <w:tc>
          <w:tcPr>
            <w:tcW w:w="1960" w:type="dxa"/>
            <w:vAlign w:val="bottom"/>
            <w:gridSpan w:val="4"/>
            <w:vMerge w:val="continue"/>
          </w:tcPr>
          <w:p>
            <w:pPr>
              <w:spacing w:after="0"/>
              <w:rPr>
                <w:sz w:val="4"/>
                <w:szCs w:val="4"/>
                <w:color w:val="auto"/>
              </w:rPr>
            </w:pPr>
          </w:p>
        </w:tc>
        <w:tc>
          <w:tcPr>
            <w:tcW w:w="3480" w:type="dxa"/>
            <w:vAlign w:val="bottom"/>
            <w:gridSpan w:val="7"/>
            <w:vMerge w:val="continue"/>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type w:val="continuous"/>
        </w:sectPr>
      </w:pPr>
    </w:p>
    <w:bookmarkStart w:id="55" w:name="page56"/>
    <w:bookmarkEnd w:id="55"/>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Item 22. Undertakings.</w:t>
      </w:r>
    </w:p>
    <w:p>
      <w:pPr>
        <w:spacing w:after="0" w:line="12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17" w:lineRule="exact"/>
        <w:rPr>
          <w:sz w:val="20"/>
          <w:szCs w:val="20"/>
          <w:color w:val="auto"/>
        </w:rPr>
      </w:pPr>
    </w:p>
    <w:p>
      <w:pPr>
        <w:ind w:left="1920" w:right="1519" w:hanging="274"/>
        <w:spacing w:after="0" w:line="271" w:lineRule="auto"/>
        <w:tabs>
          <w:tab w:leader="none" w:pos="19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79" w:lineRule="exact"/>
        <w:rPr>
          <w:rFonts w:ascii="Times New Roman" w:cs="Times New Roman" w:eastAsia="Times New Roman" w:hAnsi="Times New Roman"/>
          <w:sz w:val="14"/>
          <w:szCs w:val="14"/>
          <w:color w:val="auto"/>
        </w:rPr>
      </w:pPr>
    </w:p>
    <w:p>
      <w:pPr>
        <w:ind w:left="2200" w:hanging="279"/>
        <w:spacing w:after="0"/>
        <w:tabs>
          <w:tab w:leader="none" w:pos="220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17" w:lineRule="exact"/>
        <w:rPr>
          <w:rFonts w:ascii="Times New Roman" w:cs="Times New Roman" w:eastAsia="Times New Roman" w:hAnsi="Times New Roman"/>
          <w:sz w:val="14"/>
          <w:szCs w:val="14"/>
          <w:color w:val="auto"/>
        </w:rPr>
      </w:pPr>
    </w:p>
    <w:p>
      <w:pPr>
        <w:ind w:left="2200" w:right="1499" w:hanging="279"/>
        <w:spacing w:after="0" w:line="248" w:lineRule="auto"/>
        <w:tabs>
          <w:tab w:leader="none" w:pos="220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63" w:lineRule="exact"/>
        <w:rPr>
          <w:rFonts w:ascii="Times New Roman" w:cs="Times New Roman" w:eastAsia="Times New Roman" w:hAnsi="Times New Roman"/>
          <w:sz w:val="14"/>
          <w:szCs w:val="14"/>
          <w:color w:val="auto"/>
        </w:rPr>
      </w:pPr>
    </w:p>
    <w:p>
      <w:pPr>
        <w:ind w:left="2200" w:right="1679" w:hanging="279"/>
        <w:spacing w:after="0" w:line="258" w:lineRule="auto"/>
        <w:tabs>
          <w:tab w:leader="none" w:pos="220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78" w:lineRule="exact"/>
        <w:rPr>
          <w:rFonts w:ascii="Times New Roman" w:cs="Times New Roman" w:eastAsia="Times New Roman" w:hAnsi="Times New Roman"/>
          <w:sz w:val="14"/>
          <w:szCs w:val="14"/>
          <w:color w:val="auto"/>
        </w:rPr>
      </w:pPr>
    </w:p>
    <w:p>
      <w:pPr>
        <w:ind w:left="1920" w:right="1399" w:hanging="274"/>
        <w:spacing w:after="0" w:line="254" w:lineRule="auto"/>
        <w:tabs>
          <w:tab w:leader="none" w:pos="19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1" w:lineRule="exact"/>
        <w:rPr>
          <w:rFonts w:ascii="Times New Roman" w:cs="Times New Roman" w:eastAsia="Times New Roman" w:hAnsi="Times New Roman"/>
          <w:sz w:val="14"/>
          <w:szCs w:val="14"/>
          <w:color w:val="auto"/>
        </w:rPr>
      </w:pPr>
    </w:p>
    <w:p>
      <w:pPr>
        <w:ind w:left="1920" w:right="1559" w:hanging="274"/>
        <w:spacing w:after="0" w:line="271" w:lineRule="auto"/>
        <w:tabs>
          <w:tab w:leader="none" w:pos="19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80" w:lineRule="exact"/>
        <w:rPr>
          <w:sz w:val="20"/>
          <w:szCs w:val="20"/>
          <w:color w:val="auto"/>
        </w:rPr>
      </w:pPr>
    </w:p>
    <w:p>
      <w:pPr>
        <w:ind w:left="1380" w:right="1479" w:firstLine="275"/>
        <w:spacing w:after="0" w:line="248" w:lineRule="auto"/>
        <w:rPr>
          <w:sz w:val="20"/>
          <w:szCs w:val="20"/>
          <w:color w:val="auto"/>
        </w:rPr>
      </w:pPr>
      <w:r>
        <w:rPr>
          <w:rFonts w:ascii="Times New Roman" w:cs="Times New Roman" w:eastAsia="Times New Roman" w:hAnsi="Times New Roman"/>
          <w:sz w:val="14"/>
          <w:szCs w:val="14"/>
          <w:color w:val="auto"/>
        </w:rPr>
        <w:t xml:space="preserve">The undersigned registrant hereby undertakes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53" w:lineRule="exact"/>
        <w:rPr>
          <w:sz w:val="20"/>
          <w:szCs w:val="20"/>
          <w:color w:val="auto"/>
        </w:rPr>
      </w:pPr>
    </w:p>
    <w:p>
      <w:pPr>
        <w:ind w:left="1380" w:right="1459" w:firstLine="275"/>
        <w:spacing w:after="0" w:line="250" w:lineRule="auto"/>
        <w:rPr>
          <w:sz w:val="20"/>
          <w:szCs w:val="20"/>
          <w:color w:val="auto"/>
        </w:rPr>
      </w:pPr>
      <w:r>
        <w:rPr>
          <w:rFonts w:ascii="Times New Roman" w:cs="Times New Roman" w:eastAsia="Times New Roman" w:hAnsi="Times New Roman"/>
          <w:sz w:val="14"/>
          <w:szCs w:val="14"/>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6" w:lineRule="exact"/>
        <w:rPr>
          <w:sz w:val="20"/>
          <w:szCs w:val="20"/>
          <w:color w:val="auto"/>
        </w:rPr>
      </w:pPr>
    </w:p>
    <w:p>
      <w:pPr>
        <w:ind w:left="1920" w:right="1699" w:hanging="274"/>
        <w:spacing w:after="0" w:line="271" w:lineRule="auto"/>
        <w:tabs>
          <w:tab w:leader="none" w:pos="19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79" w:lineRule="exact"/>
        <w:rPr>
          <w:rFonts w:ascii="Times New Roman" w:cs="Times New Roman" w:eastAsia="Times New Roman" w:hAnsi="Times New Roman"/>
          <w:sz w:val="14"/>
          <w:szCs w:val="14"/>
          <w:color w:val="auto"/>
        </w:rPr>
      </w:pPr>
    </w:p>
    <w:p>
      <w:pPr>
        <w:ind w:left="1920" w:right="1619" w:hanging="274"/>
        <w:spacing w:after="0" w:line="271" w:lineRule="auto"/>
        <w:tabs>
          <w:tab w:leader="none" w:pos="19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79" w:lineRule="exact"/>
        <w:rPr>
          <w:rFonts w:ascii="Times New Roman" w:cs="Times New Roman" w:eastAsia="Times New Roman" w:hAnsi="Times New Roman"/>
          <w:sz w:val="14"/>
          <w:szCs w:val="14"/>
          <w:color w:val="auto"/>
        </w:rPr>
      </w:pPr>
    </w:p>
    <w:p>
      <w:pPr>
        <w:ind w:left="1920" w:right="1779" w:hanging="274"/>
        <w:spacing w:after="0" w:line="258" w:lineRule="auto"/>
        <w:tabs>
          <w:tab w:leader="none" w:pos="19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6" w:name="page57"/>
    <w:bookmarkEnd w:id="56"/>
    <w:p>
      <w:pPr>
        <w:ind w:left="4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920" w:right="1479" w:hanging="274"/>
        <w:spacing w:after="0" w:line="271" w:lineRule="auto"/>
        <w:tabs>
          <w:tab w:leader="none" w:pos="19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80" w:lineRule="exact"/>
        <w:rPr>
          <w:sz w:val="20"/>
          <w:szCs w:val="20"/>
          <w:color w:val="auto"/>
        </w:rPr>
      </w:pPr>
    </w:p>
    <w:p>
      <w:pPr>
        <w:ind w:left="1380" w:right="1499" w:firstLine="275"/>
        <w:spacing w:after="0" w:line="255" w:lineRule="auto"/>
        <w:rPr>
          <w:sz w:val="20"/>
          <w:szCs w:val="20"/>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w:t>
      </w:r>
    </w:p>
    <w:p>
      <w:pPr>
        <w:spacing w:after="0" w:line="1" w:lineRule="exact"/>
        <w:rPr>
          <w:sz w:val="20"/>
          <w:szCs w:val="20"/>
          <w:color w:val="auto"/>
        </w:rPr>
      </w:pPr>
    </w:p>
    <w:p>
      <w:pPr>
        <w:ind w:left="1380" w:right="1539"/>
        <w:spacing w:after="0" w:line="247" w:lineRule="auto"/>
        <w:rPr>
          <w:sz w:val="20"/>
          <w:szCs w:val="20"/>
          <w:color w:val="auto"/>
        </w:rPr>
      </w:pPr>
      <w:r>
        <w:rPr>
          <w:rFonts w:ascii="Times New Roman" w:cs="Times New Roman" w:eastAsia="Times New Roman" w:hAnsi="Times New Roman"/>
          <w:sz w:val="14"/>
          <w:szCs w:val="14"/>
          <w:color w:val="auto"/>
        </w:rPr>
        <w:t xml:space="preserve">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96" w:lineRule="exact"/>
        <w:rPr>
          <w:sz w:val="20"/>
          <w:szCs w:val="20"/>
          <w:color w:val="auto"/>
        </w:rPr>
      </w:pPr>
    </w:p>
    <w:p>
      <w:pPr>
        <w:ind w:left="1380" w:right="1399" w:firstLine="275"/>
        <w:spacing w:after="0" w:line="248"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7" w:lineRule="exact"/>
        <w:rPr>
          <w:sz w:val="20"/>
          <w:szCs w:val="20"/>
          <w:color w:val="auto"/>
        </w:rPr>
      </w:pPr>
    </w:p>
    <w:p>
      <w:pPr>
        <w:ind w:left="1380" w:right="1499" w:firstLine="275"/>
        <w:spacing w:after="0" w:line="255" w:lineRule="auto"/>
        <w:rPr>
          <w:sz w:val="20"/>
          <w:szCs w:val="20"/>
          <w:color w:val="auto"/>
        </w:rPr>
      </w:pPr>
      <w:r>
        <w:rPr>
          <w:rFonts w:ascii="Times New Roman" w:cs="Times New Roman" w:eastAsia="Times New Roman" w:hAnsi="Times New Roman"/>
          <w:sz w:val="14"/>
          <w:szCs w:val="14"/>
          <w:color w:val="auto"/>
        </w:rPr>
        <w:t>The undersigned registrant hereby undertakes to respond to requests for information that is incorporated by reference into the prospectus pursuant to Items 4, 10(b), 11, or 13 of this Form, within one</w:t>
      </w:r>
    </w:p>
    <w:p>
      <w:pPr>
        <w:spacing w:after="0" w:line="1" w:lineRule="exact"/>
        <w:rPr>
          <w:sz w:val="20"/>
          <w:szCs w:val="20"/>
          <w:color w:val="auto"/>
        </w:rPr>
      </w:pPr>
    </w:p>
    <w:p>
      <w:pPr>
        <w:ind w:left="1380" w:right="1639" w:hanging="8"/>
        <w:spacing w:after="0" w:line="248" w:lineRule="auto"/>
        <w:tabs>
          <w:tab w:leader="none" w:pos="158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5" w:lineRule="exact"/>
        <w:rPr>
          <w:sz w:val="20"/>
          <w:szCs w:val="20"/>
          <w:color w:val="auto"/>
        </w:rPr>
      </w:pPr>
    </w:p>
    <w:p>
      <w:pPr>
        <w:jc w:val="both"/>
        <w:ind w:left="1380" w:right="1619" w:firstLine="275"/>
        <w:spacing w:after="0" w:line="258" w:lineRule="auto"/>
        <w:rPr>
          <w:sz w:val="20"/>
          <w:szCs w:val="20"/>
          <w:color w:val="auto"/>
        </w:rPr>
      </w:pPr>
      <w:r>
        <w:rPr>
          <w:rFonts w:ascii="Times New Roman" w:cs="Times New Roman" w:eastAsia="Times New Roman" w:hAnsi="Times New Roman"/>
          <w:sz w:val="14"/>
          <w:szCs w:val="14"/>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7" w:name="page58"/>
    <w:bookmarkEnd w:id="57"/>
    <w:p>
      <w:pPr>
        <w:ind w:left="4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1" w:lineRule="exact"/>
        <w:rPr>
          <w:sz w:val="20"/>
          <w:szCs w:val="20"/>
          <w:color w:val="auto"/>
        </w:rPr>
      </w:pPr>
    </w:p>
    <w:p>
      <w:pPr>
        <w:ind w:left="1380" w:right="1399" w:firstLine="275"/>
        <w:spacing w:after="0" w:line="258"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has duly caused this Registration Statement to be signed on its behalf by the undersigned, thereunto duly authorized, in Bloomington, State of Illinois, on May 27, 2026.</w:t>
      </w:r>
    </w:p>
    <w:p>
      <w:pPr>
        <w:spacing w:after="0" w:line="1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HBT FINANCIAL, INC.</w:t>
      </w:r>
    </w:p>
    <w:p>
      <w:pPr>
        <w:spacing w:after="0" w:line="33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J. Lance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36830</wp:posOffset>
            </wp:positionV>
            <wp:extent cx="188468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1884680" cy="6350"/>
                    </a:xfrm>
                    <a:prstGeom prst="rect">
                      <a:avLst/>
                    </a:prstGeom>
                    <a:noFill/>
                  </pic:spPr>
                </pic:pic>
              </a:graphicData>
            </a:graphic>
          </wp:anchor>
        </w:drawing>
      </w:r>
    </w:p>
    <w:p>
      <w:pPr>
        <w:spacing w:after="0" w:line="5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Name:  J. Lance Carter</w:t>
      </w:r>
    </w:p>
    <w:p>
      <w:pPr>
        <w:spacing w:after="0" w:line="17" w:lineRule="exact"/>
        <w:rPr>
          <w:sz w:val="20"/>
          <w:szCs w:val="20"/>
          <w:color w:val="auto"/>
        </w:rPr>
      </w:pPr>
    </w:p>
    <w:p>
      <w:pPr>
        <w:ind w:left="4660"/>
        <w:spacing w:after="0"/>
        <w:tabs>
          <w:tab w:leader="none" w:pos="5120" w:val="left"/>
        </w:tabs>
        <w:rPr>
          <w:sz w:val="20"/>
          <w:szCs w:val="20"/>
          <w:color w:val="auto"/>
        </w:rPr>
      </w:pPr>
      <w:r>
        <w:rPr>
          <w:rFonts w:ascii="Times New Roman" w:cs="Times New Roman" w:eastAsia="Times New Roman" w:hAnsi="Times New Roman"/>
          <w:sz w:val="14"/>
          <w:szCs w:val="14"/>
          <w:color w:val="auto"/>
        </w:rPr>
        <w:t>Title:</w:t>
        <w:tab/>
        <w:t>President and Chief Executive Officer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1" w:lineRule="exact"/>
        <w:rPr>
          <w:sz w:val="20"/>
          <w:szCs w:val="20"/>
          <w:color w:val="auto"/>
        </w:rPr>
      </w:pPr>
    </w:p>
    <w:p>
      <w:pPr>
        <w:ind w:left="1380" w:right="1399" w:firstLine="275"/>
        <w:spacing w:after="0" w:line="247" w:lineRule="auto"/>
        <w:rPr>
          <w:sz w:val="20"/>
          <w:szCs w:val="20"/>
          <w:color w:val="auto"/>
        </w:rPr>
      </w:pPr>
      <w:r>
        <w:rPr>
          <w:rFonts w:ascii="Times New Roman" w:cs="Times New Roman" w:eastAsia="Times New Roman" w:hAnsi="Times New Roman"/>
          <w:sz w:val="14"/>
          <w:szCs w:val="14"/>
          <w:color w:val="auto"/>
        </w:rPr>
        <w:t>KNOW ALL MEN BY THESE PRESENTS, that by so signing, each of the undersigned, in his or her capacity as a director or officer, or both, as the case may be, of HBT Financial, Inc., does hereby appoint J. Lance Carter and Peter R. Chapman, and each of them severally, his or her true and lawful attorney-in-fact and agent, with full power of substitution and resubstitution, to execute in his or her name, place and stead, in his or her capacity as a director or officer, or both, as the case may be, of HBT Financial, Inc., this Registration Statement and any and all amendments to this Registration Statement, post-effective amendments and supplements thereto, and to sign any subsequent registration statement filed pursuant to Rule 462(b) under the Securities Act of 1933, as amended, and all instruments necessary or incidental in connection therewith, and to file the same with the Securities and Exchange Commission. Each of said attorneys-in-fact and agents shall have full power and authority to do and perform in the name and on behalf of each of the undersigned, in any and all capacities, every act whatsoever requisite or necessary to be done in the premises as fully, and for all intents and purposes, as each of the undersigned might or could do in person, the undersigned hereby ratifying and approving the acts of said attorneys-in-fact and each of them and their substitutes lawfully done or caused to be done by virtue of this power of attorney.</w:t>
      </w:r>
    </w:p>
    <w:p>
      <w:pPr>
        <w:spacing w:after="0" w:line="102" w:lineRule="exact"/>
        <w:rPr>
          <w:sz w:val="20"/>
          <w:szCs w:val="20"/>
          <w:color w:val="auto"/>
        </w:rPr>
      </w:pPr>
    </w:p>
    <w:p>
      <w:pPr>
        <w:ind w:left="1380" w:right="1439" w:firstLine="275"/>
        <w:spacing w:after="0" w:line="25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on May 27, 2026 by the following persons in the capacities indicated below.</w:t>
      </w:r>
    </w:p>
    <w:p>
      <w:pPr>
        <w:jc w:val="both"/>
        <w:ind w:left="1380"/>
        <w:spacing w:after="0"/>
        <w:tabs>
          <w:tab w:leader="none" w:pos="2300" w:val="left"/>
          <w:tab w:leader="none" w:pos="3720" w:val="left"/>
          <w:tab w:leader="none" w:pos="5520" w:val="left"/>
          <w:tab w:leader="none" w:pos="7620" w:val="left"/>
        </w:tabs>
        <w:rPr>
          <w:sz w:val="20"/>
          <w:szCs w:val="20"/>
          <w:color w:val="auto"/>
        </w:rPr>
      </w:pPr>
      <w:r>
        <w:rPr>
          <w:rFonts w:ascii="Times New Roman" w:cs="Times New Roman" w:eastAsia="Times New Roman" w:hAnsi="Times New Roman"/>
          <w:sz w:val="16"/>
          <w:szCs w:val="16"/>
          <w:b w:val="1"/>
          <w:bCs w:val="1"/>
          <w:color w:val="auto"/>
          <w:vertAlign w:val="subscript"/>
        </w:rPr>
        <w:t>​</w:t>
      </w:r>
      <w:r>
        <w:rPr>
          <w:sz w:val="20"/>
          <w:szCs w:val="20"/>
          <w:color w:val="auto"/>
        </w:rPr>
        <w:tab/>
      </w:r>
      <w:r>
        <w:rPr>
          <w:rFonts w:ascii="Times New Roman" w:cs="Times New Roman" w:eastAsia="Times New Roman" w:hAnsi="Times New Roman"/>
          <w:sz w:val="9"/>
          <w:szCs w:val="9"/>
          <w:b w:val="1"/>
          <w:bCs w:val="1"/>
          <w:color w:val="auto"/>
        </w:rPr>
        <w:t>Signature</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Capacity</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15240</wp:posOffset>
            </wp:positionV>
            <wp:extent cx="397827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3978275" cy="6350"/>
                    </a:xfrm>
                    <a:prstGeom prst="rect">
                      <a:avLst/>
                    </a:prstGeom>
                    <a:noFill/>
                  </pic:spPr>
                </pic:pic>
              </a:graphicData>
            </a:graphic>
          </wp:anchor>
        </w:drawing>
      </w:r>
    </w:p>
    <w:p>
      <w:pPr>
        <w:spacing w:after="0" w:line="3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230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/s/ J. Lance Carter</w:t>
            </w:r>
          </w:p>
        </w:tc>
        <w:tc>
          <w:tcPr>
            <w:tcW w:w="140" w:type="dxa"/>
            <w:vAlign w:val="bottom"/>
          </w:tcPr>
          <w:p>
            <w:pPr>
              <w:spacing w:after="0"/>
              <w:rPr>
                <w:sz w:val="10"/>
                <w:szCs w:val="10"/>
                <w:color w:val="auto"/>
              </w:rPr>
            </w:pPr>
          </w:p>
        </w:tc>
        <w:tc>
          <w:tcPr>
            <w:tcW w:w="37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J. Lance Carter</w:t>
            </w:r>
          </w:p>
        </w:tc>
        <w:tc>
          <w:tcPr>
            <w:tcW w:w="140" w:type="dxa"/>
            <w:vAlign w:val="bottom"/>
          </w:tcPr>
          <w:p>
            <w:pPr>
              <w:spacing w:after="0"/>
              <w:rPr>
                <w:sz w:val="15"/>
                <w:szCs w:val="15"/>
                <w:color w:val="auto"/>
              </w:rPr>
            </w:pPr>
          </w:p>
        </w:tc>
        <w:tc>
          <w:tcPr>
            <w:tcW w:w="3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 Peter R. Chapman</w:t>
            </w:r>
          </w:p>
        </w:tc>
        <w:tc>
          <w:tcPr>
            <w:tcW w:w="140" w:type="dxa"/>
            <w:vAlign w:val="bottom"/>
          </w:tcPr>
          <w:p>
            <w:pPr>
              <w:spacing w:after="0"/>
              <w:rPr>
                <w:sz w:val="24"/>
                <w:szCs w:val="24"/>
                <w:color w:val="auto"/>
              </w:rPr>
            </w:pPr>
          </w:p>
        </w:tc>
        <w:tc>
          <w:tcPr>
            <w:tcW w:w="3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300" w:type="dxa"/>
            <w:vAlign w:val="bottom"/>
          </w:tcPr>
          <w:p>
            <w:pPr>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Peter R. Chapman</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5"/>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 Fred L. Drake</w:t>
            </w:r>
          </w:p>
        </w:tc>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2300" w:type="dxa"/>
            <w:vAlign w:val="bottom"/>
          </w:tcPr>
          <w:p>
            <w:pPr>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Fred L. Drake</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Executive Chairman and Director</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 James T. Ashworth</w:t>
            </w:r>
          </w:p>
        </w:tc>
        <w:tc>
          <w:tcPr>
            <w:tcW w:w="14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2"/>
        </w:trPr>
        <w:tc>
          <w:tcPr>
            <w:tcW w:w="2300" w:type="dxa"/>
            <w:vAlign w:val="bottom"/>
          </w:tcPr>
          <w:p>
            <w:pPr>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James T. Ashworth</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Director</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9"/>
        </w:trPr>
        <w:tc>
          <w:tcPr>
            <w:tcW w:w="2300" w:type="dxa"/>
            <w:vAlign w:val="bottom"/>
          </w:tcPr>
          <w:p>
            <w:pPr>
              <w:spacing w:after="0"/>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/s/ Roger A. Baker</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Director</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Roger A. Baker</w:t>
            </w:r>
          </w:p>
        </w:tc>
        <w:tc>
          <w:tcPr>
            <w:tcW w:w="1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-1296670</wp:posOffset>
            </wp:positionV>
            <wp:extent cx="146558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1465580" cy="6350"/>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-904240</wp:posOffset>
            </wp:positionV>
            <wp:extent cx="146558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1465580" cy="6350"/>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-511810</wp:posOffset>
            </wp:positionV>
            <wp:extent cx="146558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1465580" cy="6350"/>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-132080</wp:posOffset>
            </wp:positionV>
            <wp:extent cx="146558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1465580" cy="6350"/>
                    </a:xfrm>
                    <a:prstGeom prst="rect">
                      <a:avLst/>
                    </a:prstGeom>
                    <a:noFill/>
                  </pic:spPr>
                </pic:pic>
              </a:graphicData>
            </a:graphic>
          </wp:anchor>
        </w:drawing>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8" w:name="page59"/>
    <w:bookmarkEnd w:id="58"/>
    <w:p>
      <w:pPr>
        <w:ind w:left="420"/>
        <w:spacing w:after="0"/>
        <w:rPr>
          <w:sz w:val="20"/>
          <w:szCs w:val="20"/>
          <w:color w:val="auto"/>
        </w:rPr>
      </w:pPr>
      <w:r>
        <w:rPr>
          <w:rFonts w:ascii="Calibri" w:cs="Calibri" w:eastAsia="Calibri" w:hAnsi="Calibri"/>
          <w:sz w:val="11"/>
          <w:szCs w:val="11"/>
          <w:color w:val="003366"/>
        </w:rPr>
        <w:t>TABLE OF CONTENTS</w:t>
      </w:r>
    </w:p>
    <w:p>
      <w:pPr>
        <w:spacing w:after="0" w:line="400" w:lineRule="exact"/>
        <w:rPr>
          <w:sz w:val="20"/>
          <w:szCs w:val="20"/>
          <w:color w:val="auto"/>
        </w:rPr>
      </w:pPr>
    </w:p>
    <w:p>
      <w:pPr>
        <w:ind w:left="1380"/>
        <w:spacing w:after="0"/>
        <w:tabs>
          <w:tab w:leader="none" w:pos="2300" w:val="left"/>
          <w:tab w:leader="none" w:pos="3720" w:val="left"/>
          <w:tab w:leader="none" w:pos="5520" w:val="left"/>
          <w:tab w:leader="none" w:pos="762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1"/>
          <w:szCs w:val="11"/>
          <w:b w:val="1"/>
          <w:bCs w:val="1"/>
          <w:color w:val="auto"/>
        </w:rPr>
        <w:t>Signature</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Capacity</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23495</wp:posOffset>
            </wp:positionV>
            <wp:extent cx="397827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3978275" cy="6350"/>
                    </a:xfrm>
                    <a:prstGeom prst="rect">
                      <a:avLst/>
                    </a:prstGeom>
                    <a:noFill/>
                  </pic:spPr>
                </pic:pic>
              </a:graphicData>
            </a:graphic>
          </wp:anchor>
        </w:drawing>
      </w:r>
    </w:p>
    <w:p>
      <w:pPr>
        <w:spacing w:after="0" w:line="31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140" w:type="dxa"/>
            <w:vAlign w:val="bottom"/>
          </w:tcPr>
          <w:p>
            <w:pPr>
              <w:spacing w:after="0"/>
              <w:rPr>
                <w:sz w:val="13"/>
                <w:szCs w:val="13"/>
                <w:color w:val="auto"/>
              </w:rPr>
            </w:pPr>
          </w:p>
        </w:tc>
        <w:tc>
          <w:tcPr>
            <w:tcW w:w="170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300" w:type="dxa"/>
            <w:vAlign w:val="bottom"/>
            <w:tcBorders>
              <w:bottom w:val="single" w:sz="8" w:color="auto"/>
            </w:tcBorders>
          </w:tcPr>
          <w:p>
            <w:pPr>
              <w:spacing w:after="0" w:line="145" w:lineRule="exact"/>
              <w:rPr>
                <w:sz w:val="20"/>
                <w:szCs w:val="20"/>
                <w:color w:val="auto"/>
              </w:rPr>
            </w:pPr>
            <w:r>
              <w:rPr>
                <w:rFonts w:ascii="Times New Roman" w:cs="Times New Roman" w:eastAsia="Times New Roman" w:hAnsi="Times New Roman"/>
                <w:sz w:val="14"/>
                <w:szCs w:val="14"/>
                <w:color w:val="auto"/>
              </w:rPr>
              <w:t>/s/ C. Alvin Bowman</w:t>
            </w:r>
          </w:p>
        </w:tc>
        <w:tc>
          <w:tcPr>
            <w:tcW w:w="160" w:type="dxa"/>
            <w:vAlign w:val="bottom"/>
          </w:tcPr>
          <w:p>
            <w:pPr>
              <w:spacing w:after="0"/>
              <w:rPr>
                <w:sz w:val="12"/>
                <w:szCs w:val="12"/>
                <w:color w:val="auto"/>
              </w:rPr>
            </w:pP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 Alvin Bowman</w:t>
            </w:r>
          </w:p>
        </w:tc>
        <w:tc>
          <w:tcPr>
            <w:tcW w:w="16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3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 Eric E. Burwell</w:t>
            </w:r>
          </w:p>
        </w:tc>
        <w:tc>
          <w:tcPr>
            <w:tcW w:w="1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30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 ​</w:t>
            </w:r>
          </w:p>
        </w:tc>
        <w:tc>
          <w:tcPr>
            <w:tcW w:w="214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ind w:left="1660"/>
              <w:spacing w:after="0" w:line="12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Eric E. Burwell</w:t>
            </w: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 Patrick F. Busch</w:t>
            </w: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30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 ​</w:t>
            </w:r>
          </w:p>
        </w:tc>
        <w:tc>
          <w:tcPr>
            <w:tcW w:w="214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ind w:left="1660"/>
              <w:spacing w:after="0" w:line="12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Patrick F. Busch</w:t>
            </w: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 Allen C. Drake</w:t>
            </w: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30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 ​</w:t>
            </w:r>
          </w:p>
        </w:tc>
        <w:tc>
          <w:tcPr>
            <w:tcW w:w="214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ind w:left="1660"/>
              <w:spacing w:after="0" w:line="12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Allen C. Drake</w:t>
            </w: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 Linda J. Koch</w:t>
            </w: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30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 ​</w:t>
            </w:r>
          </w:p>
        </w:tc>
        <w:tc>
          <w:tcPr>
            <w:tcW w:w="214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ind w:left="1660"/>
              <w:spacing w:after="0" w:line="12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Linda J. Koch</w:t>
            </w: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 Michael J. Morton</w:t>
            </w: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30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 ​</w:t>
            </w:r>
          </w:p>
        </w:tc>
        <w:tc>
          <w:tcPr>
            <w:tcW w:w="214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ind w:left="1660"/>
              <w:spacing w:after="0" w:line="12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Michael J. Morton</w:t>
            </w: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 Gerald E. Pfeiffer</w:t>
            </w: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30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 ​</w:t>
            </w:r>
          </w:p>
        </w:tc>
        <w:tc>
          <w:tcPr>
            <w:tcW w:w="214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Director</w:t>
            </w:r>
          </w:p>
        </w:tc>
        <w:tc>
          <w:tcPr>
            <w:tcW w:w="1700" w:type="dxa"/>
            <w:vAlign w:val="bottom"/>
          </w:tcPr>
          <w:p>
            <w:pPr>
              <w:ind w:left="1660"/>
              <w:spacing w:after="0" w:line="12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Gerald E. Pfeiffer</w:t>
            </w: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9"/>
        </w:trPr>
        <w:tc>
          <w:tcPr>
            <w:tcW w:w="2300" w:type="dxa"/>
            <w:vAlign w:val="bottom"/>
          </w:tcPr>
          <w:p>
            <w:pPr>
              <w:spacing w:after="0"/>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/s/ Nancy L. Ruyle</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Director</w:t>
            </w:r>
          </w:p>
        </w:tc>
        <w:tc>
          <w:tcPr>
            <w:tcW w:w="170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Nancy L. Ruyle</w:t>
            </w: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-2474595</wp:posOffset>
            </wp:positionV>
            <wp:extent cx="146558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1465580" cy="6350"/>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-2082165</wp:posOffset>
            </wp:positionV>
            <wp:extent cx="146558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1465580" cy="6350"/>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-1689735</wp:posOffset>
            </wp:positionV>
            <wp:extent cx="146558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1465580" cy="6350"/>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-1296670</wp:posOffset>
            </wp:positionV>
            <wp:extent cx="146558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1465580" cy="6350"/>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-904240</wp:posOffset>
            </wp:positionV>
            <wp:extent cx="146558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1465580" cy="6350"/>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-511810</wp:posOffset>
            </wp:positionV>
            <wp:extent cx="146558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1465580" cy="6350"/>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-132080</wp:posOffset>
            </wp:positionV>
            <wp:extent cx="146558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14655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187325</wp:posOffset>
            </wp:positionV>
            <wp:extent cx="52139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5213985" cy="38735"/>
                    </a:xfrm>
                    <a:prstGeom prst="rect">
                      <a:avLst/>
                    </a:prstGeom>
                    <a:noFill/>
                  </pic:spPr>
                </pic:pic>
              </a:graphicData>
            </a:graphic>
          </wp:anchor>
        </w:drawing>
      </w:r>
    </w:p>
    <w:p>
      <w:pPr>
        <w:sectPr>
          <w:pgSz w:w="11900" w:h="16838" w:orient="portrait"/>
          <w:cols w:equalWidth="0" w:num="1">
            <w:col w:w="9019"/>
          </w:cols>
          <w:pgMar w:left="1440" w:top="103"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133985</wp:posOffset>
            </wp:positionV>
            <wp:extent cx="1059815" cy="3530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1059815" cy="35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May 27,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HBT Financial,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401 North Hershey Road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Bloomington, Illinois 61704</w:t>
      </w:r>
    </w:p>
    <w:p>
      <w:pPr>
        <w:spacing w:after="0" w:line="151"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Re:</w:t>
      </w:r>
      <w:r>
        <w:rPr>
          <w:sz w:val="20"/>
          <w:szCs w:val="20"/>
          <w:color w:val="auto"/>
        </w:rPr>
        <w:tab/>
      </w:r>
      <w:r>
        <w:rPr>
          <w:rFonts w:ascii="Times New Roman" w:cs="Times New Roman" w:eastAsia="Times New Roman" w:hAnsi="Times New Roman"/>
          <w:sz w:val="14"/>
          <w:szCs w:val="14"/>
          <w:b w:val="1"/>
          <w:bCs w:val="1"/>
          <w:u w:val="single" w:color="auto"/>
          <w:color w:val="auto"/>
        </w:rPr>
        <w:t>Registration Statement on Form S-4 of HBT Financial,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65"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14"/>
          <w:szCs w:val="14"/>
          <w:color w:val="auto"/>
        </w:rPr>
        <w:t>We have acted as counsel to HBT Financial,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in connection with the preparation and filing with the U.S.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of a registration statement on Form S-4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relating to the offering by the Company of up to $85,000,000 principal amount of the Company’s 5.75% Fixed-to-Floating Rate Subordinated Notes due 2036 (the “</w:t>
      </w:r>
      <w:r>
        <w:rPr>
          <w:rFonts w:ascii="Times New Roman" w:cs="Times New Roman" w:eastAsia="Times New Roman" w:hAnsi="Times New Roman"/>
          <w:sz w:val="14"/>
          <w:szCs w:val="14"/>
          <w:b w:val="1"/>
          <w:bCs w:val="1"/>
          <w:color w:val="auto"/>
        </w:rPr>
        <w:t>New Notes</w:t>
      </w:r>
      <w:r>
        <w:rPr>
          <w:rFonts w:ascii="Times New Roman" w:cs="Times New Roman" w:eastAsia="Times New Roman" w:hAnsi="Times New Roman"/>
          <w:sz w:val="14"/>
          <w:szCs w:val="14"/>
          <w:color w:val="auto"/>
        </w:rPr>
        <w:t>”), in exchange for a like principal amount of the Company’s outstanding unregistered 5.75% Fixed-to-Floating Rate Subordinated Notes due 2036 (the “</w:t>
      </w:r>
      <w:r>
        <w:rPr>
          <w:rFonts w:ascii="Times New Roman" w:cs="Times New Roman" w:eastAsia="Times New Roman" w:hAnsi="Times New Roman"/>
          <w:sz w:val="14"/>
          <w:szCs w:val="14"/>
          <w:b w:val="1"/>
          <w:bCs w:val="1"/>
          <w:color w:val="auto"/>
        </w:rPr>
        <w:t>Old Notes</w:t>
      </w:r>
      <w:r>
        <w:rPr>
          <w:rFonts w:ascii="Times New Roman" w:cs="Times New Roman" w:eastAsia="Times New Roman" w:hAnsi="Times New Roman"/>
          <w:sz w:val="14"/>
          <w:szCs w:val="14"/>
          <w:color w:val="auto"/>
        </w:rPr>
        <w:t>”). The New Notes will be issued pursuant to an Indenture, dated as of March 11, 2026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between the Company and UMB Bank, N.A., as trustee (the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This opinion is being furnished in accordance with the requirements of Item 601(b)(5) of Regulation S-K under the Act.</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We have made such legal and factual investigations as we deemed necessary for purposes of this opinion. We have examined originals or copies, certified or otherwise identified to our satisfaction,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(a) the Restated Certificate of Incorporation of the Company; (b) the Amended and Restated Bylaws of the Company; (c) a Certificate of Good Standing of the Company issued by the Delaware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Secretary of State, dated as of May 27, 2026; (d) the Registration Statement; (e) the Indenture; (f) the Old Notes, in global form; (g) the form of New Notes in global form; and (h) the resolutions adopted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 the board of directors of the Company relating to the Registration Statement, the Indenture, and the issuance of the New Notes by the Company in exchange for the Old Notes. In our investigation, we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have assumed the genuineness of all signatures, the proper execution of all documents submitted to us as originals, the conformity to the original documents of all documents submitted to us as copies and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authenticity of the originals of such copies. As to matters of fact, we have relied upon representations of officers of the Company.</w:t>
      </w:r>
    </w:p>
    <w:p>
      <w:pPr>
        <w:spacing w:after="0" w:line="155"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14"/>
          <w:szCs w:val="14"/>
          <w:color w:val="auto"/>
        </w:rPr>
        <w:t>Based upon the foregoing, and subject to the qualifications, assumptions and limitations set forth herein, and assuming that the Registration Statement shall have been declared effective by the Commission, it is our opinion as of the date hereof that when the New Notes are duly executed by a duly authorized officer of the Company and duly authenticated by the Trustee, all in accordance with the provisions of the Indenture and issued and delivered in exchange for the Old Notes in the manner described in the Registration Statement, the New Notes will constitute binding obligations of the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Barack Ferrazzano</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200 West Madison Street, Suite 3900 | Chicago, Illinois 60606</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T. 312.984.3100 | F. 312.984.3150 | </w:t>
      </w:r>
      <w:r>
        <w:rPr>
          <w:rFonts w:ascii="Times New Roman" w:cs="Times New Roman" w:eastAsia="Times New Roman" w:hAnsi="Times New Roman"/>
          <w:sz w:val="14"/>
          <w:szCs w:val="14"/>
          <w:u w:val="single" w:color="auto"/>
          <w:color w:val="auto"/>
        </w:rPr>
        <w:t>bfkn.com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337820</wp:posOffset>
            </wp:positionV>
            <wp:extent cx="716470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468630</wp:posOffset>
            </wp:positionV>
            <wp:extent cx="654050" cy="2159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654050" cy="215900"/>
                    </a:xfrm>
                    <a:prstGeom prst="rect">
                      <a:avLst/>
                    </a:prstGeom>
                    <a:noFill/>
                  </pic:spPr>
                </pic:pic>
              </a:graphicData>
            </a:graphic>
          </wp:anchor>
        </w:drawing>
        <w:t>HBT Financial,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27,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55"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4"/>
          <w:szCs w:val="14"/>
          <w:color w:val="auto"/>
        </w:rPr>
        <w:t>Our opinion set forth above is subject to the following exceptions: (a) the effect of bankruptcy, insolvency, reorganization, receivership, moratorium, fraudulent conveyance, fraudulent transfer or other similar laws now or hereafter in effect relating to creditors’ rights generally; and (b) the effect of general principles of equity (whether applied by a court of law or equity) and the discretion of the court before which any proceeding therefor may be brought; and we express no opinion as to waivers of broadly or vaguely stated rights.</w:t>
      </w:r>
    </w:p>
    <w:p>
      <w:pPr>
        <w:spacing w:after="0" w:line="140" w:lineRule="exact"/>
        <w:rPr>
          <w:sz w:val="20"/>
          <w:szCs w:val="20"/>
          <w:color w:val="auto"/>
        </w:rPr>
      </w:pPr>
    </w:p>
    <w:p>
      <w:pPr>
        <w:jc w:val="both"/>
        <w:ind w:firstLine="495"/>
        <w:spacing w:after="0" w:line="271" w:lineRule="auto"/>
        <w:rPr>
          <w:sz w:val="20"/>
          <w:szCs w:val="20"/>
          <w:color w:val="auto"/>
        </w:rPr>
      </w:pPr>
      <w:r>
        <w:rPr>
          <w:rFonts w:ascii="Times New Roman" w:cs="Times New Roman" w:eastAsia="Times New Roman" w:hAnsi="Times New Roman"/>
          <w:sz w:val="14"/>
          <w:szCs w:val="14"/>
          <w:color w:val="auto"/>
        </w:rPr>
        <w:t>With respect to the foregoing opinions, we express no opinion concerning any law other than the laws of the State of New York (excluding the securities laws of the State of New York). We express no opinion as to matters relating to securities or blue sky laws of any jurisdiction or any rules or regulations thereunder (other than federal securities laws).</w:t>
      </w:r>
    </w:p>
    <w:p>
      <w:pPr>
        <w:spacing w:after="0" w:line="131"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4"/>
          <w:szCs w:val="14"/>
          <w:color w:val="auto"/>
        </w:rPr>
        <w:t>We express no opinion with respect to any specific legal issues other than those explicitly addressed herein. We assume no obligation to update this opinion letter after the date that the Registration Statement is initially declared effective or otherwise advise you with respect to any facts or circumstances or changes in law that may occur or come to our attention after such date (even though the change may affect the legal conclusions stated in this opinion letter).</w:t>
      </w:r>
    </w:p>
    <w:p>
      <w:pPr>
        <w:spacing w:after="0" w:line="140" w:lineRule="exact"/>
        <w:rPr>
          <w:sz w:val="20"/>
          <w:szCs w:val="20"/>
          <w:color w:val="auto"/>
        </w:rPr>
      </w:pPr>
    </w:p>
    <w:p>
      <w:pPr>
        <w:jc w:val="both"/>
        <w:ind w:firstLine="495"/>
        <w:spacing w:after="0" w:line="271" w:lineRule="auto"/>
        <w:rPr>
          <w:sz w:val="20"/>
          <w:szCs w:val="20"/>
          <w:color w:val="auto"/>
        </w:rPr>
      </w:pPr>
      <w:r>
        <w:rPr>
          <w:rFonts w:ascii="Times New Roman" w:cs="Times New Roman" w:eastAsia="Times New Roman" w:hAnsi="Times New Roman"/>
          <w:sz w:val="14"/>
          <w:szCs w:val="14"/>
          <w:color w:val="auto"/>
        </w:rPr>
        <w:t>We hereby consent to the reference to our firm in the Registration Statement under the caption “Legal Matters” and to the inclusion of this opinion as an exhibit to the Registration Statement. In giving this consent, we do not admit that we are within the category of persons whose consent is required under Section 7 of the Act or the rules and regulations of the Commission.</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BARACK FERRAZZANO KIRSCHBAUM &amp; NAGELBERG LLP</w:t>
      </w:r>
    </w:p>
    <w:p>
      <w:pPr>
        <w:spacing w:after="0" w:line="1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BARACK FERRAZZANO KIRSCHBAUM &amp; NAGELBERG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337820</wp:posOffset>
            </wp:positionV>
            <wp:extent cx="716470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271"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S-4 of HBT Financial, Inc. of our reports dated March 6, 2026, relating to the consolidated financial statements and the effectiveness of internal control over financial reporting of HBT Financial, Inc., appearing in the Annual Report on Form 10-K of HBT Financial, Inc. for the year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consent to the reference to our firm under the heading "Experts" in such Registration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Chicago, Illinois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27, 2026</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6"/>
          <w:szCs w:val="16"/>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16470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166370</wp:posOffset>
            </wp:positionV>
            <wp:extent cx="716470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140335</wp:posOffset>
            </wp:positionV>
            <wp:extent cx="178625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1786255" cy="63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T-1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ELIGIBILITY UNDER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TRUST INDENTURE ACT OF 1939 OF 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 DESIGNATED TO ACT AS TRUSTEE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 if an Application to Determine Eligibility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1794510</wp:posOffset>
            </wp:positionH>
            <wp:positionV relativeFrom="paragraph">
              <wp:posOffset>132715</wp:posOffset>
            </wp:positionV>
            <wp:extent cx="357886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3578860" cy="6350"/>
                    </a:xfrm>
                    <a:prstGeom prst="rect">
                      <a:avLst/>
                    </a:prstGeom>
                    <a:noFill/>
                  </pic:spPr>
                </pic:pic>
              </a:graphicData>
            </a:graphic>
          </wp:anchor>
        </w:drawing>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UMB BANK, NATIONAL ASSOCIATION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44-0194180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66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7"/>
              </w:rPr>
              <w:t>1010 Grand Blvd.</w:t>
            </w:r>
          </w:p>
        </w:tc>
        <w:tc>
          <w:tcPr>
            <w:tcW w:w="1660" w:type="dxa"/>
            <w:vAlign w:val="bottom"/>
            <w:tcBorders>
              <w:top w:val="single" w:sz="8" w:color="auto"/>
            </w:tcBorders>
          </w:tcPr>
          <w:p>
            <w:pPr>
              <w:spacing w:after="0"/>
              <w:rPr>
                <w:sz w:val="14"/>
                <w:szCs w:val="14"/>
                <w:color w:val="auto"/>
              </w:rPr>
            </w:pPr>
          </w:p>
        </w:tc>
        <w:tc>
          <w:tcPr>
            <w:tcW w:w="3980" w:type="dxa"/>
            <w:vAlign w:val="bottom"/>
            <w:tcBorders>
              <w:top w:val="single" w:sz="8" w:color="auto"/>
              <w:right w:val="single" w:sz="8" w:color="auto"/>
            </w:tcBorders>
          </w:tcPr>
          <w:p>
            <w:pPr>
              <w:spacing w:after="0"/>
              <w:rPr>
                <w:sz w:val="14"/>
                <w:szCs w:val="14"/>
                <w:color w:val="auto"/>
              </w:rPr>
            </w:pPr>
          </w:p>
        </w:tc>
      </w:tr>
      <w:tr>
        <w:trPr>
          <w:trHeight w:val="178"/>
        </w:trPr>
        <w:tc>
          <w:tcPr>
            <w:tcW w:w="566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7"/>
              </w:rPr>
              <w:t>Kansas City, Missouri</w:t>
            </w:r>
          </w:p>
        </w:tc>
        <w:tc>
          <w:tcPr>
            <w:tcW w:w="166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jc w:val="right"/>
              <w:ind w:right="2591"/>
              <w:spacing w:after="0"/>
              <w:rPr>
                <w:sz w:val="20"/>
                <w:szCs w:val="20"/>
                <w:color w:val="auto"/>
              </w:rPr>
            </w:pPr>
            <w:r>
              <w:rPr>
                <w:rFonts w:ascii="Times New Roman" w:cs="Times New Roman" w:eastAsia="Times New Roman" w:hAnsi="Times New Roman"/>
                <w:sz w:val="14"/>
                <w:szCs w:val="14"/>
                <w:color w:val="auto"/>
              </w:rPr>
              <w:t>64106</w:t>
            </w:r>
          </w:p>
        </w:tc>
      </w:tr>
      <w:tr>
        <w:trPr>
          <w:trHeight w:val="155"/>
        </w:trPr>
        <w:tc>
          <w:tcPr>
            <w:tcW w:w="5660" w:type="dxa"/>
            <w:vAlign w:val="bottom"/>
            <w:tcBorders>
              <w:left w:val="single" w:sz="8" w:color="auto"/>
              <w:bottom w:val="single" w:sz="8" w:color="auto"/>
              <w:right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1660" w:type="dxa"/>
            <w:vAlign w:val="bottom"/>
            <w:tcBorders>
              <w:bottom w:val="single" w:sz="8" w:color="auto"/>
            </w:tcBorders>
          </w:tcPr>
          <w:p>
            <w:pPr>
              <w:spacing w:after="0"/>
              <w:rPr>
                <w:sz w:val="13"/>
                <w:szCs w:val="13"/>
                <w:color w:val="auto"/>
              </w:rPr>
            </w:pPr>
          </w:p>
        </w:tc>
        <w:tc>
          <w:tcPr>
            <w:tcW w:w="3980" w:type="dxa"/>
            <w:vAlign w:val="bottom"/>
            <w:tcBorders>
              <w:bottom w:val="single" w:sz="8" w:color="auto"/>
              <w:right w:val="single" w:sz="8" w:color="auto"/>
            </w:tcBorders>
          </w:tcPr>
          <w:p>
            <w:pPr>
              <w:jc w:val="center"/>
              <w:ind w:right="1631"/>
              <w:spacing w:after="0" w:line="155" w:lineRule="exact"/>
              <w:rPr>
                <w:sz w:val="20"/>
                <w:szCs w:val="20"/>
                <w:color w:val="auto"/>
              </w:rPr>
            </w:pPr>
            <w:r>
              <w:rPr>
                <w:rFonts w:ascii="Times New Roman" w:cs="Times New Roman" w:eastAsia="Times New Roman" w:hAnsi="Times New Roman"/>
                <w:sz w:val="14"/>
                <w:szCs w:val="14"/>
                <w:color w:val="auto"/>
                <w:w w:val="96"/>
              </w:rPr>
              <w:t>(Zip Code)</w:t>
            </w:r>
          </w:p>
        </w:tc>
      </w:tr>
      <w:tr>
        <w:trPr>
          <w:trHeight w:val="307"/>
        </w:trPr>
        <w:tc>
          <w:tcPr>
            <w:tcW w:w="7320" w:type="dxa"/>
            <w:vAlign w:val="bottom"/>
            <w:gridSpan w:val="3"/>
          </w:tcPr>
          <w:p>
            <w:pPr>
              <w:jc w:val="center"/>
              <w:ind w:left="3891"/>
              <w:spacing w:after="0"/>
              <w:rPr>
                <w:sz w:val="20"/>
                <w:szCs w:val="20"/>
                <w:color w:val="auto"/>
              </w:rPr>
            </w:pPr>
            <w:r>
              <w:rPr>
                <w:rFonts w:ascii="Times New Roman" w:cs="Times New Roman" w:eastAsia="Times New Roman" w:hAnsi="Times New Roman"/>
                <w:sz w:val="14"/>
                <w:szCs w:val="14"/>
                <w:color w:val="auto"/>
                <w:w w:val="98"/>
              </w:rPr>
              <w:t>James Henry</w:t>
            </w:r>
          </w:p>
        </w:tc>
        <w:tc>
          <w:tcPr>
            <w:tcW w:w="3980" w:type="dxa"/>
            <w:vAlign w:val="bottom"/>
          </w:tcPr>
          <w:p>
            <w:pPr>
              <w:spacing w:after="0"/>
              <w:rPr>
                <w:sz w:val="24"/>
                <w:szCs w:val="24"/>
                <w:color w:val="auto"/>
              </w:rPr>
            </w:pPr>
          </w:p>
        </w:tc>
      </w:tr>
      <w:tr>
        <w:trPr>
          <w:trHeight w:val="165"/>
        </w:trPr>
        <w:tc>
          <w:tcPr>
            <w:tcW w:w="7320" w:type="dxa"/>
            <w:vAlign w:val="bottom"/>
            <w:gridSpan w:val="3"/>
          </w:tcPr>
          <w:p>
            <w:pPr>
              <w:jc w:val="center"/>
              <w:ind w:left="3891"/>
              <w:spacing w:after="0"/>
              <w:rPr>
                <w:sz w:val="20"/>
                <w:szCs w:val="20"/>
                <w:color w:val="auto"/>
              </w:rPr>
            </w:pPr>
            <w:r>
              <w:rPr>
                <w:rFonts w:ascii="Times New Roman" w:cs="Times New Roman" w:eastAsia="Times New Roman" w:hAnsi="Times New Roman"/>
                <w:sz w:val="14"/>
                <w:szCs w:val="14"/>
                <w:color w:val="auto"/>
                <w:w w:val="97"/>
              </w:rPr>
              <w:t>UMB BANK, NATIONAL ASSOCIATION</w:t>
            </w:r>
          </w:p>
        </w:tc>
        <w:tc>
          <w:tcPr>
            <w:tcW w:w="3980" w:type="dxa"/>
            <w:vAlign w:val="bottom"/>
          </w:tcPr>
          <w:p>
            <w:pPr>
              <w:spacing w:after="0"/>
              <w:rPr>
                <w:sz w:val="14"/>
                <w:szCs w:val="14"/>
                <w:color w:val="auto"/>
              </w:rPr>
            </w:pPr>
          </w:p>
        </w:tc>
      </w:tr>
      <w:tr>
        <w:trPr>
          <w:trHeight w:val="165"/>
        </w:trPr>
        <w:tc>
          <w:tcPr>
            <w:tcW w:w="7320" w:type="dxa"/>
            <w:vAlign w:val="bottom"/>
            <w:gridSpan w:val="3"/>
          </w:tcPr>
          <w:p>
            <w:pPr>
              <w:jc w:val="center"/>
              <w:ind w:left="3891"/>
              <w:spacing w:after="0"/>
              <w:rPr>
                <w:sz w:val="20"/>
                <w:szCs w:val="20"/>
                <w:color w:val="auto"/>
              </w:rPr>
            </w:pPr>
            <w:r>
              <w:rPr>
                <w:rFonts w:ascii="Times New Roman" w:cs="Times New Roman" w:eastAsia="Times New Roman" w:hAnsi="Times New Roman"/>
                <w:sz w:val="14"/>
                <w:szCs w:val="14"/>
                <w:color w:val="auto"/>
                <w:w w:val="97"/>
              </w:rPr>
              <w:t>5555 San Felipe, Suite 870</w:t>
            </w:r>
          </w:p>
        </w:tc>
        <w:tc>
          <w:tcPr>
            <w:tcW w:w="3980" w:type="dxa"/>
            <w:vAlign w:val="bottom"/>
          </w:tcPr>
          <w:p>
            <w:pPr>
              <w:spacing w:after="0"/>
              <w:rPr>
                <w:sz w:val="14"/>
                <w:szCs w:val="14"/>
                <w:color w:val="auto"/>
              </w:rPr>
            </w:pPr>
          </w:p>
        </w:tc>
      </w:tr>
      <w:tr>
        <w:trPr>
          <w:trHeight w:val="165"/>
        </w:trPr>
        <w:tc>
          <w:tcPr>
            <w:tcW w:w="7320" w:type="dxa"/>
            <w:vAlign w:val="bottom"/>
            <w:gridSpan w:val="3"/>
          </w:tcPr>
          <w:p>
            <w:pPr>
              <w:jc w:val="center"/>
              <w:ind w:left="3891"/>
              <w:spacing w:after="0"/>
              <w:rPr>
                <w:sz w:val="20"/>
                <w:szCs w:val="20"/>
                <w:color w:val="auto"/>
              </w:rPr>
            </w:pPr>
            <w:r>
              <w:rPr>
                <w:rFonts w:ascii="Times New Roman" w:cs="Times New Roman" w:eastAsia="Times New Roman" w:hAnsi="Times New Roman"/>
                <w:sz w:val="14"/>
                <w:szCs w:val="14"/>
                <w:color w:val="auto"/>
                <w:w w:val="98"/>
              </w:rPr>
              <w:t>Houston, Texas 77056</w:t>
            </w:r>
          </w:p>
        </w:tc>
        <w:tc>
          <w:tcPr>
            <w:tcW w:w="3980" w:type="dxa"/>
            <w:vAlign w:val="bottom"/>
          </w:tcPr>
          <w:p>
            <w:pPr>
              <w:spacing w:after="0"/>
              <w:rPr>
                <w:sz w:val="14"/>
                <w:szCs w:val="14"/>
                <w:color w:val="auto"/>
              </w:rPr>
            </w:pPr>
          </w:p>
        </w:tc>
      </w:tr>
      <w:tr>
        <w:trPr>
          <w:trHeight w:val="165"/>
        </w:trPr>
        <w:tc>
          <w:tcPr>
            <w:tcW w:w="7320" w:type="dxa"/>
            <w:vAlign w:val="bottom"/>
            <w:gridSpan w:val="3"/>
          </w:tcPr>
          <w:p>
            <w:pPr>
              <w:jc w:val="center"/>
              <w:ind w:left="3911"/>
              <w:spacing w:after="0"/>
              <w:rPr>
                <w:sz w:val="20"/>
                <w:szCs w:val="20"/>
                <w:color w:val="auto"/>
              </w:rPr>
            </w:pPr>
            <w:r>
              <w:rPr>
                <w:rFonts w:ascii="Times New Roman" w:cs="Times New Roman" w:eastAsia="Times New Roman" w:hAnsi="Times New Roman"/>
                <w:sz w:val="14"/>
                <w:szCs w:val="14"/>
                <w:color w:val="auto"/>
                <w:w w:val="98"/>
              </w:rPr>
              <w:t>(512) 582-5851</w:t>
            </w:r>
          </w:p>
        </w:tc>
        <w:tc>
          <w:tcPr>
            <w:tcW w:w="3980" w:type="dxa"/>
            <w:vAlign w:val="bottom"/>
          </w:tcPr>
          <w:p>
            <w:pPr>
              <w:spacing w:after="0"/>
              <w:rPr>
                <w:sz w:val="14"/>
                <w:szCs w:val="14"/>
                <w:color w:val="auto"/>
              </w:rPr>
            </w:pPr>
          </w:p>
        </w:tc>
      </w:tr>
      <w:tr>
        <w:trPr>
          <w:trHeight w:val="178"/>
        </w:trPr>
        <w:tc>
          <w:tcPr>
            <w:tcW w:w="7320" w:type="dxa"/>
            <w:vAlign w:val="bottom"/>
            <w:gridSpan w:val="3"/>
          </w:tcPr>
          <w:p>
            <w:pPr>
              <w:jc w:val="center"/>
              <w:ind w:left="3911"/>
              <w:spacing w:after="0"/>
              <w:rPr>
                <w:sz w:val="20"/>
                <w:szCs w:val="20"/>
                <w:color w:val="auto"/>
              </w:rPr>
            </w:pPr>
            <w:r>
              <w:rPr>
                <w:rFonts w:ascii="Times New Roman" w:cs="Times New Roman" w:eastAsia="Times New Roman" w:hAnsi="Times New Roman"/>
                <w:sz w:val="14"/>
                <w:szCs w:val="14"/>
                <w:color w:val="auto"/>
                <w:w w:val="98"/>
              </w:rPr>
              <w:t>(Name, address and telephone number of agent for service)</w:t>
            </w:r>
          </w:p>
        </w:tc>
        <w:tc>
          <w:tcPr>
            <w:tcW w:w="3980" w:type="dxa"/>
            <w:vAlign w:val="bottom"/>
          </w:tcPr>
          <w:p>
            <w:pPr>
              <w:spacing w:after="0"/>
              <w:rPr>
                <w:sz w:val="15"/>
                <w:szCs w:val="15"/>
                <w:color w:val="auto"/>
              </w:rPr>
            </w:pPr>
          </w:p>
        </w:tc>
      </w:tr>
      <w:tr>
        <w:trPr>
          <w:trHeight w:val="316"/>
        </w:trPr>
        <w:tc>
          <w:tcPr>
            <w:tcW w:w="7320" w:type="dxa"/>
            <w:vAlign w:val="bottom"/>
            <w:gridSpan w:val="3"/>
          </w:tcPr>
          <w:p>
            <w:pPr>
              <w:jc w:val="center"/>
              <w:ind w:left="3911"/>
              <w:spacing w:after="0"/>
              <w:rPr>
                <w:sz w:val="20"/>
                <w:szCs w:val="20"/>
                <w:color w:val="auto"/>
              </w:rPr>
            </w:pPr>
            <w:r>
              <w:rPr>
                <w:rFonts w:ascii="Times New Roman" w:cs="Times New Roman" w:eastAsia="Times New Roman" w:hAnsi="Times New Roman"/>
                <w:sz w:val="14"/>
                <w:szCs w:val="14"/>
                <w:color w:val="auto"/>
                <w:w w:val="98"/>
              </w:rPr>
              <w:t>HBT Financial, Inc.</w:t>
            </w:r>
          </w:p>
        </w:tc>
        <w:tc>
          <w:tcPr>
            <w:tcW w:w="3980" w:type="dxa"/>
            <w:vAlign w:val="bottom"/>
          </w:tcPr>
          <w:p>
            <w:pPr>
              <w:spacing w:after="0"/>
              <w:rPr>
                <w:sz w:val="24"/>
                <w:szCs w:val="24"/>
                <w:color w:val="auto"/>
              </w:rPr>
            </w:pPr>
          </w:p>
        </w:tc>
      </w:tr>
      <w:tr>
        <w:trPr>
          <w:trHeight w:val="178"/>
        </w:trPr>
        <w:tc>
          <w:tcPr>
            <w:tcW w:w="7320" w:type="dxa"/>
            <w:vAlign w:val="bottom"/>
            <w:gridSpan w:val="3"/>
          </w:tcPr>
          <w:p>
            <w:pPr>
              <w:jc w:val="center"/>
              <w:ind w:left="3891"/>
              <w:spacing w:after="0"/>
              <w:rPr>
                <w:sz w:val="20"/>
                <w:szCs w:val="20"/>
                <w:color w:val="auto"/>
              </w:rPr>
            </w:pPr>
            <w:r>
              <w:rPr>
                <w:rFonts w:ascii="Times New Roman" w:cs="Times New Roman" w:eastAsia="Times New Roman" w:hAnsi="Times New Roman"/>
                <w:sz w:val="14"/>
                <w:szCs w:val="14"/>
                <w:color w:val="auto"/>
                <w:w w:val="98"/>
              </w:rPr>
              <w:t>(Issuer with respect to the Securities)</w:t>
            </w:r>
          </w:p>
        </w:tc>
        <w:tc>
          <w:tcPr>
            <w:tcW w:w="3980" w:type="dxa"/>
            <w:vAlign w:val="bottom"/>
          </w:tcPr>
          <w:p>
            <w:pPr>
              <w:spacing w:after="0"/>
              <w:rPr>
                <w:sz w:val="15"/>
                <w:szCs w:val="15"/>
                <w:color w:val="auto"/>
              </w:rPr>
            </w:pPr>
          </w:p>
        </w:tc>
      </w:tr>
      <w:tr>
        <w:trPr>
          <w:trHeight w:val="164"/>
        </w:trPr>
        <w:tc>
          <w:tcPr>
            <w:tcW w:w="54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r>
      <w:tr>
        <w:trPr>
          <w:trHeight w:val="155"/>
        </w:trPr>
        <w:tc>
          <w:tcPr>
            <w:tcW w:w="544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6"/>
              </w:rPr>
              <w:t>Delaware</w:t>
            </w:r>
          </w:p>
        </w:tc>
        <w:tc>
          <w:tcPr>
            <w:tcW w:w="1880" w:type="dxa"/>
            <w:vAlign w:val="bottom"/>
            <w:tcBorders>
              <w:bottom w:val="single" w:sz="8" w:color="auto"/>
            </w:tcBorders>
            <w:gridSpan w:val="2"/>
          </w:tcPr>
          <w:p>
            <w:pPr>
              <w:spacing w:after="0"/>
              <w:rPr>
                <w:sz w:val="13"/>
                <w:szCs w:val="13"/>
                <w:color w:val="auto"/>
              </w:rPr>
            </w:pPr>
          </w:p>
        </w:tc>
        <w:tc>
          <w:tcPr>
            <w:tcW w:w="3980" w:type="dxa"/>
            <w:vAlign w:val="bottom"/>
            <w:tcBorders>
              <w:bottom w:val="single" w:sz="8" w:color="auto"/>
              <w:right w:val="single" w:sz="8" w:color="auto"/>
            </w:tcBorders>
          </w:tcPr>
          <w:p>
            <w:pPr>
              <w:jc w:val="center"/>
              <w:ind w:right="1851"/>
              <w:spacing w:after="0" w:line="155" w:lineRule="exact"/>
              <w:rPr>
                <w:sz w:val="20"/>
                <w:szCs w:val="20"/>
                <w:color w:val="auto"/>
              </w:rPr>
            </w:pPr>
            <w:r>
              <w:rPr>
                <w:rFonts w:ascii="Times New Roman" w:cs="Times New Roman" w:eastAsia="Times New Roman" w:hAnsi="Times New Roman"/>
                <w:sz w:val="14"/>
                <w:szCs w:val="14"/>
                <w:color w:val="auto"/>
                <w:w w:val="97"/>
              </w:rPr>
              <w:t>37-1117216</w:t>
            </w:r>
          </w:p>
        </w:tc>
      </w:tr>
      <w:tr>
        <w:trPr>
          <w:trHeight w:val="155"/>
        </w:trPr>
        <w:tc>
          <w:tcPr>
            <w:tcW w:w="544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1880" w:type="dxa"/>
            <w:vAlign w:val="bottom"/>
            <w:tcBorders>
              <w:bottom w:val="single" w:sz="8" w:color="auto"/>
            </w:tcBorders>
            <w:gridSpan w:val="2"/>
          </w:tcPr>
          <w:p>
            <w:pPr>
              <w:spacing w:after="0"/>
              <w:rPr>
                <w:sz w:val="13"/>
                <w:szCs w:val="13"/>
                <w:color w:val="auto"/>
              </w:rPr>
            </w:pPr>
          </w:p>
        </w:tc>
        <w:tc>
          <w:tcPr>
            <w:tcW w:w="3980" w:type="dxa"/>
            <w:vAlign w:val="bottom"/>
            <w:tcBorders>
              <w:bottom w:val="single" w:sz="8" w:color="auto"/>
              <w:right w:val="single" w:sz="8" w:color="auto"/>
            </w:tcBorders>
          </w:tcPr>
          <w:p>
            <w:pPr>
              <w:jc w:val="center"/>
              <w:ind w:right="1831"/>
              <w:spacing w:after="0" w:line="155" w:lineRule="exact"/>
              <w:rPr>
                <w:sz w:val="20"/>
                <w:szCs w:val="20"/>
                <w:color w:val="auto"/>
              </w:rPr>
            </w:pPr>
            <w:r>
              <w:rPr>
                <w:rFonts w:ascii="Times New Roman" w:cs="Times New Roman" w:eastAsia="Times New Roman" w:hAnsi="Times New Roman"/>
                <w:sz w:val="14"/>
                <w:szCs w:val="14"/>
                <w:color w:val="auto"/>
                <w:w w:val="98"/>
              </w:rPr>
              <w:t>(I.R.S. Employer Identification No.)</w:t>
            </w:r>
          </w:p>
        </w:tc>
      </w:tr>
      <w:tr>
        <w:trPr>
          <w:trHeight w:val="155"/>
        </w:trPr>
        <w:tc>
          <w:tcPr>
            <w:tcW w:w="7320" w:type="dxa"/>
            <w:vAlign w:val="bottom"/>
            <w:tcBorders>
              <w:bottom w:val="single" w:sz="8" w:color="auto"/>
            </w:tcBorders>
            <w:gridSpan w:val="3"/>
          </w:tcPr>
          <w:p>
            <w:pPr>
              <w:spacing w:after="0"/>
              <w:rPr>
                <w:sz w:val="13"/>
                <w:szCs w:val="13"/>
                <w:color w:val="auto"/>
              </w:rPr>
            </w:pPr>
          </w:p>
        </w:tc>
        <w:tc>
          <w:tcPr>
            <w:tcW w:w="3980" w:type="dxa"/>
            <w:vAlign w:val="bottom"/>
            <w:tcBorders>
              <w:bottom w:val="single" w:sz="8" w:color="auto"/>
            </w:tcBorders>
          </w:tcPr>
          <w:p>
            <w:pPr>
              <w:spacing w:after="0"/>
              <w:rPr>
                <w:sz w:val="13"/>
                <w:szCs w:val="13"/>
                <w:color w:val="auto"/>
              </w:rPr>
            </w:pPr>
          </w:p>
        </w:tc>
      </w:tr>
      <w:tr>
        <w:trPr>
          <w:trHeight w:val="142"/>
        </w:trPr>
        <w:tc>
          <w:tcPr>
            <w:tcW w:w="7320" w:type="dxa"/>
            <w:vAlign w:val="bottom"/>
            <w:tcBorders>
              <w:left w:val="single" w:sz="8" w:color="auto"/>
            </w:tcBorders>
            <w:gridSpan w:val="3"/>
          </w:tcPr>
          <w:p>
            <w:pPr>
              <w:jc w:val="center"/>
              <w:ind w:right="1880"/>
              <w:spacing w:after="0" w:line="143" w:lineRule="exact"/>
              <w:rPr>
                <w:sz w:val="20"/>
                <w:szCs w:val="20"/>
                <w:color w:val="auto"/>
              </w:rPr>
            </w:pPr>
            <w:r>
              <w:rPr>
                <w:rFonts w:ascii="Times New Roman" w:cs="Times New Roman" w:eastAsia="Times New Roman" w:hAnsi="Times New Roman"/>
                <w:sz w:val="14"/>
                <w:szCs w:val="14"/>
                <w:color w:val="auto"/>
                <w:w w:val="98"/>
              </w:rPr>
              <w:t>401 N. Hershey Road</w:t>
            </w:r>
          </w:p>
        </w:tc>
        <w:tc>
          <w:tcPr>
            <w:tcW w:w="3980" w:type="dxa"/>
            <w:vAlign w:val="bottom"/>
            <w:tcBorders>
              <w:right w:val="single" w:sz="8" w:color="auto"/>
            </w:tcBorders>
          </w:tcPr>
          <w:p>
            <w:pPr>
              <w:spacing w:after="0"/>
              <w:rPr>
                <w:sz w:val="12"/>
                <w:szCs w:val="12"/>
                <w:color w:val="auto"/>
              </w:rPr>
            </w:pPr>
          </w:p>
        </w:tc>
      </w:tr>
      <w:tr>
        <w:trPr>
          <w:trHeight w:val="178"/>
        </w:trPr>
        <w:tc>
          <w:tcPr>
            <w:tcW w:w="7320" w:type="dxa"/>
            <w:vAlign w:val="bottom"/>
            <w:tcBorders>
              <w:left w:val="single" w:sz="8" w:color="auto"/>
              <w:bottom w:val="single" w:sz="8" w:color="auto"/>
            </w:tcBorders>
            <w:gridSpan w:val="3"/>
          </w:tcPr>
          <w:p>
            <w:pPr>
              <w:jc w:val="center"/>
              <w:ind w:right="1880"/>
              <w:spacing w:after="0"/>
              <w:rPr>
                <w:sz w:val="20"/>
                <w:szCs w:val="20"/>
                <w:color w:val="auto"/>
              </w:rPr>
            </w:pPr>
            <w:r>
              <w:rPr>
                <w:rFonts w:ascii="Times New Roman" w:cs="Times New Roman" w:eastAsia="Times New Roman" w:hAnsi="Times New Roman"/>
                <w:sz w:val="14"/>
                <w:szCs w:val="14"/>
                <w:color w:val="auto"/>
                <w:w w:val="97"/>
              </w:rPr>
              <w:t>Bloomington, IL</w:t>
            </w:r>
          </w:p>
        </w:tc>
        <w:tc>
          <w:tcPr>
            <w:tcW w:w="3980" w:type="dxa"/>
            <w:vAlign w:val="bottom"/>
            <w:tcBorders>
              <w:bottom w:val="single" w:sz="8" w:color="auto"/>
              <w:right w:val="single" w:sz="8" w:color="auto"/>
            </w:tcBorders>
          </w:tcPr>
          <w:p>
            <w:pPr>
              <w:jc w:val="center"/>
              <w:ind w:right="1851"/>
              <w:spacing w:after="0"/>
              <w:rPr>
                <w:sz w:val="20"/>
                <w:szCs w:val="20"/>
                <w:color w:val="auto"/>
              </w:rPr>
            </w:pPr>
            <w:r>
              <w:rPr>
                <w:rFonts w:ascii="Times New Roman" w:cs="Times New Roman" w:eastAsia="Times New Roman" w:hAnsi="Times New Roman"/>
                <w:sz w:val="14"/>
                <w:szCs w:val="14"/>
                <w:color w:val="auto"/>
                <w:w w:val="97"/>
              </w:rPr>
              <w:t>61704</w:t>
            </w:r>
          </w:p>
        </w:tc>
      </w:tr>
      <w:tr>
        <w:trPr>
          <w:trHeight w:val="155"/>
        </w:trPr>
        <w:tc>
          <w:tcPr>
            <w:tcW w:w="7320" w:type="dxa"/>
            <w:vAlign w:val="bottom"/>
            <w:tcBorders>
              <w:left w:val="single" w:sz="8" w:color="auto"/>
              <w:bottom w:val="single" w:sz="8" w:color="auto"/>
            </w:tcBorders>
            <w:gridSpan w:val="3"/>
          </w:tcPr>
          <w:p>
            <w:pPr>
              <w:jc w:val="center"/>
              <w:ind w:right="1880"/>
              <w:spacing w:after="0" w:line="155" w:lineRule="exact"/>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3980" w:type="dxa"/>
            <w:vAlign w:val="bottom"/>
            <w:tcBorders>
              <w:bottom w:val="single" w:sz="8" w:color="auto"/>
              <w:right w:val="single" w:sz="8" w:color="auto"/>
            </w:tcBorders>
          </w:tcPr>
          <w:p>
            <w:pPr>
              <w:jc w:val="center"/>
              <w:ind w:right="1851"/>
              <w:spacing w:after="0" w:line="155" w:lineRule="exact"/>
              <w:rPr>
                <w:sz w:val="20"/>
                <w:szCs w:val="20"/>
                <w:color w:val="auto"/>
              </w:rPr>
            </w:pPr>
            <w:r>
              <w:rPr>
                <w:rFonts w:ascii="Times New Roman" w:cs="Times New Roman" w:eastAsia="Times New Roman" w:hAnsi="Times New Roman"/>
                <w:sz w:val="14"/>
                <w:szCs w:val="14"/>
                <w:color w:val="auto"/>
              </w:rPr>
              <w:t>(Zip Code)</w:t>
            </w: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5.75% Fixed-to-Floating Rate Subordinated Notes due 2036</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335915</wp:posOffset>
            </wp:positionV>
            <wp:extent cx="716470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63" w:name="page64"/>
    <w:bookmarkEnd w:id="63"/>
    <w:p>
      <w:pPr>
        <w:ind w:left="5320"/>
        <w:spacing w:after="0"/>
        <w:rPr>
          <w:sz w:val="20"/>
          <w:szCs w:val="20"/>
          <w:color w:val="auto"/>
        </w:rPr>
      </w:pPr>
      <w:r>
        <w:rPr>
          <w:rFonts w:ascii="Times New Roman" w:cs="Times New Roman" w:eastAsia="Times New Roman" w:hAnsi="Times New Roman"/>
          <w:sz w:val="14"/>
          <w:szCs w:val="14"/>
          <w:b w:val="1"/>
          <w:bCs w:val="1"/>
          <w:u w:val="single" w:color="auto"/>
          <w:color w:val="auto"/>
        </w:rPr>
        <w:t>FORM T-1</w:t>
      </w:r>
    </w:p>
    <w:p>
      <w:pPr>
        <w:spacing w:after="0" w:line="16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GENERAL INFORMATION</w:t>
      </w:r>
      <w:r>
        <w:rPr>
          <w:rFonts w:ascii="Times New Roman" w:cs="Times New Roman" w:eastAsia="Times New Roman" w:hAnsi="Times New Roman"/>
          <w:sz w:val="13"/>
          <w:szCs w:val="13"/>
          <w:b w:val="1"/>
          <w:bCs w:val="1"/>
          <w:i w:val="1"/>
          <w:iCs w:val="1"/>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Furnish the following information as to the Trustee.</w:t>
      </w:r>
    </w:p>
    <w:p>
      <w:pPr>
        <w:spacing w:after="0" w:line="169" w:lineRule="exact"/>
        <w:rPr>
          <w:sz w:val="20"/>
          <w:szCs w:val="20"/>
          <w:color w:val="auto"/>
        </w:rPr>
      </w:pPr>
    </w:p>
    <w:p>
      <w:pPr>
        <w:ind w:left="1000" w:hanging="256"/>
        <w:spacing w:after="0"/>
        <w:tabs>
          <w:tab w:leader="none" w:pos="10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Name and address of each examining or supervising authority to which it is subject.</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The Comptroller of the Currency</w:t>
      </w:r>
    </w:p>
    <w:p>
      <w:pPr>
        <w:spacing w:after="0" w:line="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Mid-Western District</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2345 Grand Avenue, Suite 700</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Kansas City, Missouri 64108</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Federal Reserve Bank of Kansas City</w:t>
      </w:r>
    </w:p>
    <w:p>
      <w:pPr>
        <w:spacing w:after="0" w:line="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Federal Reserve P.O. Station</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Kansas City, Missouri 64198</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Supervising Examiner</w:t>
      </w:r>
    </w:p>
    <w:p>
      <w:pPr>
        <w:spacing w:after="0" w:line="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Federal Deposit Insurance Corporation</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720 Olive Street, Suite 2909</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St. Louis, Missouri 63101</w:t>
      </w:r>
    </w:p>
    <w:p>
      <w:pPr>
        <w:spacing w:after="0" w:line="151" w:lineRule="exact"/>
        <w:rPr>
          <w:sz w:val="20"/>
          <w:szCs w:val="20"/>
          <w:color w:val="auto"/>
        </w:rPr>
      </w:pPr>
    </w:p>
    <w:p>
      <w:pPr>
        <w:ind w:left="1240" w:right="6600" w:hanging="496"/>
        <w:spacing w:after="0" w:line="277" w:lineRule="auto"/>
        <w:tabs>
          <w:tab w:leader="none" w:pos="993"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Whether it is authorized to exercise corporate trust powers. </w:t>
      </w:r>
      <w:r>
        <w:rPr>
          <w:rFonts w:ascii="Times New Roman" w:cs="Times New Roman" w:eastAsia="Times New Roman" w:hAnsi="Times New Roman"/>
          <w:sz w:val="14"/>
          <w:szCs w:val="14"/>
          <w:color w:val="auto"/>
        </w:rPr>
        <w:t>Yes</w:t>
      </w:r>
    </w:p>
    <w:p>
      <w:pPr>
        <w:spacing w:after="0" w:line="12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 xml:space="preserve">AFFILIATIONS WITH OBLIGOR. </w:t>
      </w:r>
      <w:r>
        <w:rPr>
          <w:rFonts w:ascii="Times New Roman" w:cs="Times New Roman" w:eastAsia="Times New Roman" w:hAnsi="Times New Roman"/>
          <w:sz w:val="13"/>
          <w:szCs w:val="13"/>
          <w:i w:val="1"/>
          <w:iCs w:val="1"/>
          <w:color w:val="auto"/>
        </w:rPr>
        <w:t>If the obligor is an affiliate of the Trustee, describe each such affiliation.</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None</w:t>
      </w:r>
    </w:p>
    <w:p>
      <w:pPr>
        <w:spacing w:after="0" w:line="16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Items 3-15</w:t>
      </w:r>
      <w:r>
        <w:rPr>
          <w:sz w:val="20"/>
          <w:szCs w:val="20"/>
          <w:color w:val="auto"/>
        </w:rPr>
        <w:tab/>
      </w:r>
      <w:r>
        <w:rPr>
          <w:rFonts w:ascii="Times New Roman" w:cs="Times New Roman" w:eastAsia="Times New Roman" w:hAnsi="Times New Roman"/>
          <w:sz w:val="13"/>
          <w:szCs w:val="13"/>
          <w:i w:val="1"/>
          <w:iCs w:val="1"/>
          <w:color w:val="auto"/>
        </w:rPr>
        <w:t>Items 3-15 are not applicable because, to the best of the Trustee's knowledge, the obligor is not in default under any Indenture for which the Trustee acts as Trustee.</w:t>
      </w:r>
    </w:p>
    <w:p>
      <w:pPr>
        <w:spacing w:after="0" w:line="16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3"/>
          <w:szCs w:val="13"/>
          <w:b w:val="1"/>
          <w:bCs w:val="1"/>
          <w:color w:val="auto"/>
        </w:rPr>
        <w:t xml:space="preserve">LIST OF EXHIBITS: </w:t>
      </w:r>
      <w:r>
        <w:rPr>
          <w:rFonts w:ascii="Times New Roman" w:cs="Times New Roman" w:eastAsia="Times New Roman" w:hAnsi="Times New Roman"/>
          <w:sz w:val="13"/>
          <w:szCs w:val="13"/>
          <w:i w:val="1"/>
          <w:iCs w:val="1"/>
          <w:color w:val="auto"/>
        </w:rPr>
        <w:t>List below all exhibits filed as a part of this statement of eligibility and qualification.</w:t>
      </w:r>
    </w:p>
    <w:p>
      <w:pPr>
        <w:spacing w:after="0" w:line="173" w:lineRule="exact"/>
        <w:rPr>
          <w:sz w:val="20"/>
          <w:szCs w:val="20"/>
          <w:color w:val="auto"/>
        </w:rPr>
      </w:pPr>
    </w:p>
    <w:p>
      <w:pPr>
        <w:ind w:left="1000" w:hanging="256"/>
        <w:spacing w:after="0"/>
        <w:tabs>
          <w:tab w:leader="none" w:pos="10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Trustee (Exhibit 1 to Form T-1 filed with Registration Statement No. 333-74008).</w:t>
      </w:r>
    </w:p>
    <w:p>
      <w:pPr>
        <w:spacing w:after="0" w:line="168" w:lineRule="exact"/>
        <w:rPr>
          <w:rFonts w:ascii="Times New Roman" w:cs="Times New Roman" w:eastAsia="Times New Roman" w:hAnsi="Times New Roman"/>
          <w:sz w:val="14"/>
          <w:szCs w:val="14"/>
          <w:color w:val="auto"/>
        </w:rPr>
      </w:pPr>
    </w:p>
    <w:p>
      <w:pPr>
        <w:ind w:left="1000" w:hanging="256"/>
        <w:spacing w:after="0" w:line="271" w:lineRule="auto"/>
        <w:tabs>
          <w:tab w:leader="none" w:pos="10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 of Authority from the Comptroller of the Currency evidencing a change of the corporate title of the Association (Exhibit 2 to Form T-1 filed with Registration Statement No. 333-74008).</w:t>
      </w:r>
    </w:p>
    <w:p>
      <w:pPr>
        <w:spacing w:after="0" w:line="131" w:lineRule="exact"/>
        <w:rPr>
          <w:rFonts w:ascii="Times New Roman" w:cs="Times New Roman" w:eastAsia="Times New Roman" w:hAnsi="Times New Roman"/>
          <w:sz w:val="14"/>
          <w:szCs w:val="14"/>
          <w:color w:val="auto"/>
        </w:rPr>
      </w:pPr>
    </w:p>
    <w:p>
      <w:pPr>
        <w:ind w:left="1000" w:right="140" w:hanging="256"/>
        <w:spacing w:after="0" w:line="271" w:lineRule="auto"/>
        <w:tabs>
          <w:tab w:leader="none" w:pos="10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 from the Comptroller of the Currency evidencing authority to exercise corporate trust powers and a letter evidencing a change of the corporate title of the Association (Exhibit 3 to Form T-1 filed with Registration Statement No. 333-74008).</w:t>
      </w:r>
    </w:p>
    <w:p>
      <w:pPr>
        <w:spacing w:after="0" w:line="131" w:lineRule="exact"/>
        <w:rPr>
          <w:rFonts w:ascii="Times New Roman" w:cs="Times New Roman" w:eastAsia="Times New Roman" w:hAnsi="Times New Roman"/>
          <w:sz w:val="14"/>
          <w:szCs w:val="14"/>
          <w:color w:val="auto"/>
        </w:rPr>
      </w:pPr>
    </w:p>
    <w:p>
      <w:pPr>
        <w:ind w:left="1000" w:hanging="256"/>
        <w:spacing w:after="0"/>
        <w:tabs>
          <w:tab w:leader="none" w:pos="10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Bylaws, as amended of the Trustee (Exhibit 4 to Form T-1 filed with Registration Statement No. 333-74008).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337820</wp:posOffset>
            </wp:positionV>
            <wp:extent cx="716470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860"/>
          </w:cols>
          <w:pgMar w:left="300" w:top="720" w:right="739" w:bottom="1440" w:gutter="0" w:footer="0" w:header="0"/>
        </w:sectPr>
      </w:pPr>
    </w:p>
    <w:bookmarkStart w:id="64" w:name="page65"/>
    <w:bookmarkEnd w:id="64"/>
    <w:p>
      <w:pPr>
        <w:ind w:left="1000" w:hanging="256"/>
        <w:spacing w:after="0"/>
        <w:tabs>
          <w:tab w:leader="none" w:pos="10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Indenture referred to in Item 4. Not applicable.</w:t>
      </w:r>
    </w:p>
    <w:p>
      <w:pPr>
        <w:spacing w:after="0" w:line="168" w:lineRule="exact"/>
        <w:rPr>
          <w:rFonts w:ascii="Times New Roman" w:cs="Times New Roman" w:eastAsia="Times New Roman" w:hAnsi="Times New Roman"/>
          <w:sz w:val="14"/>
          <w:szCs w:val="14"/>
          <w:color w:val="auto"/>
        </w:rPr>
      </w:pPr>
    </w:p>
    <w:p>
      <w:pPr>
        <w:ind w:left="1000" w:hanging="256"/>
        <w:spacing w:after="0"/>
        <w:tabs>
          <w:tab w:leader="none" w:pos="10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Registration Statement No. 333-74008).</w:t>
      </w:r>
    </w:p>
    <w:p>
      <w:pPr>
        <w:spacing w:after="0" w:line="168" w:lineRule="exact"/>
        <w:rPr>
          <w:rFonts w:ascii="Times New Roman" w:cs="Times New Roman" w:eastAsia="Times New Roman" w:hAnsi="Times New Roman"/>
          <w:sz w:val="14"/>
          <w:szCs w:val="14"/>
          <w:color w:val="auto"/>
        </w:rPr>
      </w:pPr>
    </w:p>
    <w:p>
      <w:pPr>
        <w:ind w:left="1000" w:hanging="256"/>
        <w:spacing w:after="0"/>
        <w:tabs>
          <w:tab w:leader="none" w:pos="10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of Condition of the Trustee as of March 31, 2026 published pursuant to law or the requirements of its supervising or examining authority, attached as Exhibit 7.</w:t>
      </w:r>
    </w:p>
    <w:p>
      <w:pPr>
        <w:spacing w:after="0" w:line="1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73" w:lineRule="exact"/>
        <w:rPr>
          <w:sz w:val="20"/>
          <w:szCs w:val="20"/>
          <w:color w:val="auto"/>
        </w:rPr>
      </w:pPr>
    </w:p>
    <w:p>
      <w:pPr>
        <w:ind w:firstLine="666"/>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UMB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27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of May, 2026.</w:t>
      </w:r>
    </w:p>
    <w:p>
      <w:pPr>
        <w:spacing w:after="0" w:line="36"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James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10795</wp:posOffset>
            </wp:positionV>
            <wp:extent cx="336296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3362960" cy="635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4"/>
          <w:szCs w:val="14"/>
          <w:color w:val="auto"/>
        </w:rPr>
        <w:t>James Henry</w:t>
      </w:r>
    </w:p>
    <w:p>
      <w:pPr>
        <w:spacing w:after="0" w:line="1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433705</wp:posOffset>
            </wp:positionV>
            <wp:extent cx="716470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60"/>
          </w:cols>
          <w:pgMar w:left="300" w:top="724" w:right="5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7</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344805</wp:posOffset>
            </wp:positionV>
            <wp:extent cx="716470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9019"/>
          </w:cols>
          <w:pgMar w:left="1440" w:top="720" w:right="1440" w:bottom="1440"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381635</wp:posOffset>
            </wp:positionH>
            <wp:positionV relativeFrom="page">
              <wp:posOffset>468630</wp:posOffset>
            </wp:positionV>
            <wp:extent cx="6784975" cy="7479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6784975" cy="7479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80740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164705" cy="807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HBT FINANCIAL, INC.</w:t>
      </w:r>
    </w:p>
    <w:p>
      <w:pPr>
        <w:spacing w:after="0" w:line="1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LETTER OF TRANSMITTAL</w:t>
      </w:r>
    </w:p>
    <w:p>
      <w:pPr>
        <w:spacing w:after="0" w:line="16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 Tender for Exchange</w:t>
      </w:r>
    </w:p>
    <w:p>
      <w:pPr>
        <w:spacing w:after="0" w:line="1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5.75% Fixed-to-Floating Rate Subordinated Notes due 2036 CUSIP #404111 AD8 / ISIN# US404111AD88 and CUSIP# 404111 AC0 / ISIN# US404111AC06 (the “</w:t>
      </w:r>
      <w:r>
        <w:rPr>
          <w:rFonts w:ascii="Times New Roman" w:cs="Times New Roman" w:eastAsia="Times New Roman" w:hAnsi="Times New Roman"/>
          <w:sz w:val="14"/>
          <w:szCs w:val="14"/>
          <w:b w:val="1"/>
          <w:bCs w:val="1"/>
          <w:u w:val="single" w:color="auto"/>
          <w:color w:val="auto"/>
        </w:rPr>
        <w:t>Old Notes</w:t>
      </w:r>
      <w:r>
        <w:rPr>
          <w:rFonts w:ascii="Times New Roman" w:cs="Times New Roman" w:eastAsia="Times New Roman" w:hAnsi="Times New Roman"/>
          <w:sz w:val="14"/>
          <w:szCs w:val="14"/>
          <w:b w:val="1"/>
          <w:bCs w:val="1"/>
          <w:color w:val="auto"/>
        </w:rPr>
        <w:t>”)</w:t>
      </w:r>
    </w:p>
    <w:p>
      <w:pPr>
        <w:spacing w:after="0" w:line="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p>
      <w:pPr>
        <w:spacing w:after="0" w:line="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5.75% Fixed-to-Floating Rate Subordinated Notes due 2036 that have been registered under the Securities Act of 1933 (the “</w:t>
      </w:r>
      <w:r>
        <w:rPr>
          <w:rFonts w:ascii="Times New Roman" w:cs="Times New Roman" w:eastAsia="Times New Roman" w:hAnsi="Times New Roman"/>
          <w:sz w:val="13"/>
          <w:szCs w:val="13"/>
          <w:b w:val="1"/>
          <w:bCs w:val="1"/>
          <w:u w:val="single" w:color="auto"/>
          <w:color w:val="auto"/>
        </w:rPr>
        <w:t>Securities Act</w:t>
      </w:r>
      <w:r>
        <w:rPr>
          <w:rFonts w:ascii="Times New Roman" w:cs="Times New Roman" w:eastAsia="Times New Roman" w:hAnsi="Times New Roman"/>
          <w:sz w:val="13"/>
          <w:szCs w:val="13"/>
          <w:b w:val="1"/>
          <w:bCs w:val="1"/>
          <w:color w:val="auto"/>
        </w:rPr>
        <w:t>”) CUSIP# 404111 AE6 / ISIN# US404111AE61 (the</w:t>
      </w:r>
    </w:p>
    <w:p>
      <w:pPr>
        <w:spacing w:after="0" w:line="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u w:val="single" w:color="auto"/>
          <w:color w:val="auto"/>
        </w:rPr>
        <w:t>New Notes</w:t>
      </w:r>
      <w:r>
        <w:rPr>
          <w:rFonts w:ascii="Times New Roman" w:cs="Times New Roman" w:eastAsia="Times New Roman" w:hAnsi="Times New Roman"/>
          <w:sz w:val="14"/>
          <w:szCs w:val="14"/>
          <w:b w:val="1"/>
          <w:bCs w:val="1"/>
          <w:color w:val="auto"/>
        </w:rPr>
        <w:t>”)</w:t>
      </w:r>
    </w:p>
    <w:p>
      <w:pPr>
        <w:spacing w:after="0" w:line="1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PURSUANT TO THE PROSPECTUS</w:t>
      </w:r>
    </w:p>
    <w:p>
      <w:pPr>
        <w:spacing w:after="0" w:line="16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DATED [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117475</wp:posOffset>
            </wp:positionV>
            <wp:extent cx="7164705" cy="2489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64705" cy="248920"/>
                    </a:xfrm>
                    <a:prstGeom prst="rect">
                      <a:avLst/>
                    </a:prstGeom>
                    <a:noFill/>
                  </pic:spPr>
                </pic:pic>
              </a:graphicData>
            </a:graphic>
          </wp:anchor>
        </w:drawing>
      </w:r>
    </w:p>
    <w:p>
      <w:pPr>
        <w:spacing w:after="0" w:line="180" w:lineRule="exact"/>
        <w:rPr>
          <w:sz w:val="20"/>
          <w:szCs w:val="20"/>
          <w:color w:val="auto"/>
        </w:rPr>
      </w:pPr>
    </w:p>
    <w:p>
      <w:pPr>
        <w:jc w:val="center"/>
        <w:ind w:right="80"/>
        <w:spacing w:after="0" w:line="277" w:lineRule="auto"/>
        <w:rPr>
          <w:sz w:val="20"/>
          <w:szCs w:val="20"/>
          <w:color w:val="auto"/>
        </w:rPr>
      </w:pPr>
      <w:r>
        <w:rPr>
          <w:rFonts w:ascii="Times New Roman" w:cs="Times New Roman" w:eastAsia="Times New Roman" w:hAnsi="Times New Roman"/>
          <w:sz w:val="14"/>
          <w:szCs w:val="14"/>
          <w:b w:val="1"/>
          <w:bCs w:val="1"/>
          <w:color w:val="auto"/>
        </w:rPr>
        <w:t>THE EXCHANGE OFFER DESCRIBED HEREIN (THE “</w:t>
      </w:r>
      <w:r>
        <w:rPr>
          <w:rFonts w:ascii="Times New Roman" w:cs="Times New Roman" w:eastAsia="Times New Roman" w:hAnsi="Times New Roman"/>
          <w:sz w:val="14"/>
          <w:szCs w:val="14"/>
          <w:b w:val="1"/>
          <w:bCs w:val="1"/>
          <w:u w:val="single" w:color="auto"/>
          <w:color w:val="auto"/>
        </w:rPr>
        <w:t>EXCHANGE OFFER</w:t>
      </w:r>
      <w:r>
        <w:rPr>
          <w:rFonts w:ascii="Times New Roman" w:cs="Times New Roman" w:eastAsia="Times New Roman" w:hAnsi="Times New Roman"/>
          <w:sz w:val="14"/>
          <w:szCs w:val="14"/>
          <w:b w:val="1"/>
          <w:bCs w:val="1"/>
          <w:color w:val="auto"/>
        </w:rPr>
        <w:t>”) WILL EXPIRE AT 11:59 P.M., NEW YORK CITY TIME, ON [              ], 2026, UNLESS EXTENDED (THE “</w:t>
      </w:r>
      <w:r>
        <w:rPr>
          <w:rFonts w:ascii="Times New Roman" w:cs="Times New Roman" w:eastAsia="Times New Roman" w:hAnsi="Times New Roman"/>
          <w:sz w:val="14"/>
          <w:szCs w:val="14"/>
          <w:b w:val="1"/>
          <w:bCs w:val="1"/>
          <w:u w:val="single" w:color="auto"/>
          <w:color w:val="auto"/>
        </w:rPr>
        <w:t>EXPIRATION DATE</w:t>
      </w:r>
      <w:r>
        <w:rPr>
          <w:rFonts w:ascii="Times New Roman" w:cs="Times New Roman" w:eastAsia="Times New Roman" w:hAnsi="Times New Roman"/>
          <w:sz w:val="14"/>
          <w:szCs w:val="14"/>
          <w:b w:val="1"/>
          <w:bCs w:val="1"/>
          <w:color w:val="auto"/>
        </w:rPr>
        <w:t>”). TENDERS MAY BE WITHDRAWN PRIOR TO 11:59 P.M., NEW YORK CITY TIME, ON THE EXPIRATION DATE.</w:t>
      </w:r>
    </w:p>
    <w:p>
      <w:pPr>
        <w:spacing w:after="0" w:line="1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PLEASE READ CAREFULLY THE ATTACHED INSTRUCTIONS.</w:t>
      </w:r>
    </w:p>
    <w:p>
      <w:pPr>
        <w:spacing w:after="0" w:line="16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The “</w:t>
      </w:r>
      <w:r>
        <w:rPr>
          <w:rFonts w:ascii="Times New Roman" w:cs="Times New Roman" w:eastAsia="Times New Roman" w:hAnsi="Times New Roman"/>
          <w:sz w:val="14"/>
          <w:szCs w:val="14"/>
          <w:i w:val="1"/>
          <w:iCs w:val="1"/>
          <w:u w:val="single" w:color="auto"/>
          <w:color w:val="auto"/>
        </w:rPr>
        <w:t>Exchange Agent</w:t>
      </w:r>
      <w:r>
        <w:rPr>
          <w:rFonts w:ascii="Times New Roman" w:cs="Times New Roman" w:eastAsia="Times New Roman" w:hAnsi="Times New Roman"/>
          <w:sz w:val="14"/>
          <w:szCs w:val="14"/>
          <w:i w:val="1"/>
          <w:iCs w:val="1"/>
          <w:color w:val="auto"/>
        </w:rPr>
        <w:t>” is</w:t>
      </w:r>
      <w:r>
        <w:rPr>
          <w:rFonts w:ascii="Times New Roman" w:cs="Times New Roman" w:eastAsia="Times New Roman" w:hAnsi="Times New Roman"/>
          <w:sz w:val="14"/>
          <w:szCs w:val="14"/>
          <w:color w:val="auto"/>
        </w:rPr>
        <w:t>:</w:t>
      </w:r>
    </w:p>
    <w:p>
      <w:pPr>
        <w:spacing w:after="0" w:line="16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UMB Bank, N.A.</w:t>
      </w:r>
    </w:p>
    <w:p>
      <w:pPr>
        <w:spacing w:after="0" w:line="16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By Registered or Certified Mail, Overnight Courier, or Hand Delivery:</w:t>
      </w:r>
    </w:p>
    <w:p>
      <w:pPr>
        <w:spacing w:after="0" w:line="1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UMB Bank, N.A., as Trustee</w:t>
      </w:r>
    </w:p>
    <w:p>
      <w:pPr>
        <w:spacing w:after="0" w:line="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5555 San Felipe, Suite 870</w:t>
      </w:r>
    </w:p>
    <w:p>
      <w:pPr>
        <w:spacing w:after="0" w:line="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Houston, Texas 77056</w:t>
      </w:r>
    </w:p>
    <w:p>
      <w:pPr>
        <w:spacing w:after="0" w:line="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Attention: James Henry, Corporate Trust Services</w:t>
      </w:r>
    </w:p>
    <w:p>
      <w:pPr>
        <w:spacing w:after="0" w:line="1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By Facsimile Transmission (Eligible Institutions Only):</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(512) 582-5855</w:t>
      </w:r>
    </w:p>
    <w:p>
      <w:pPr>
        <w:spacing w:after="0" w:line="1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Confirm by Telephone or for Information:</w:t>
      </w:r>
    </w:p>
    <w:p>
      <w:pPr>
        <w:spacing w:after="0" w:line="21" w:lineRule="exact"/>
        <w:rPr>
          <w:sz w:val="20"/>
          <w:szCs w:val="20"/>
          <w:color w:val="auto"/>
        </w:rPr>
      </w:pPr>
    </w:p>
    <w:p>
      <w:pPr>
        <w:ind w:left="5440" w:hanging="325"/>
        <w:spacing w:after="0"/>
        <w:tabs>
          <w:tab w:leader="none" w:pos="54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389-5949</w:t>
      </w:r>
    </w:p>
    <w:p>
      <w:pPr>
        <w:spacing w:after="0" w:line="320" w:lineRule="exact"/>
        <w:rPr>
          <w:rFonts w:ascii="Times New Roman" w:cs="Times New Roman" w:eastAsia="Times New Roman" w:hAnsi="Times New Roman"/>
          <w:sz w:val="14"/>
          <w:szCs w:val="14"/>
          <w:color w:val="auto"/>
        </w:rPr>
      </w:pPr>
    </w:p>
    <w:p>
      <w:pPr>
        <w:ind w:left="5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10795</wp:posOffset>
            </wp:positionV>
            <wp:extent cx="716470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180"/>
          </w:cols>
          <w:pgMar w:left="400" w:top="115"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Preliminary Instructions</w:t>
      </w:r>
    </w:p>
    <w:p>
      <w:pPr>
        <w:spacing w:after="0" w:line="169"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14"/>
          <w:szCs w:val="14"/>
          <w:color w:val="auto"/>
        </w:rPr>
        <w:t>The undersigned hereby acknowledges receipt of the prospectus dated [</w:t>
      </w:r>
      <w:r>
        <w:rPr>
          <w:rFonts w:ascii="Times New Roman" w:cs="Times New Roman" w:eastAsia="Times New Roman" w:hAnsi="Times New Roman"/>
          <w:sz w:val="14"/>
          <w:szCs w:val="14"/>
          <w:b w:val="1"/>
          <w:bCs w:val="1"/>
          <w:color w:val="auto"/>
        </w:rPr>
        <w:t>            </w:t>
      </w:r>
      <w:r>
        <w:rPr>
          <w:rFonts w:ascii="Times New Roman" w:cs="Times New Roman" w:eastAsia="Times New Roman" w:hAnsi="Times New Roman"/>
          <w:sz w:val="14"/>
          <w:szCs w:val="14"/>
          <w:color w:val="auto"/>
        </w:rPr>
        <w:t>], 2026 (as it may be amended or supplemented from time to time, the “</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of HBT Financial,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this Letter of Transmittal (this “</w:t>
      </w:r>
      <w:r>
        <w:rPr>
          <w:rFonts w:ascii="Times New Roman" w:cs="Times New Roman" w:eastAsia="Times New Roman" w:hAnsi="Times New Roman"/>
          <w:sz w:val="14"/>
          <w:szCs w:val="14"/>
          <w:u w:val="single" w:color="auto"/>
          <w:color w:val="auto"/>
        </w:rPr>
        <w:t>Letter of Transmittal</w:t>
      </w:r>
      <w:r>
        <w:rPr>
          <w:rFonts w:ascii="Times New Roman" w:cs="Times New Roman" w:eastAsia="Times New Roman" w:hAnsi="Times New Roman"/>
          <w:sz w:val="14"/>
          <w:szCs w:val="14"/>
          <w:color w:val="auto"/>
        </w:rPr>
        <w:t>”), which together constitute the Exchange Offer whereby the Company is offering to exchange its 5.75% Fixed-to-Floating Rate Subordinated Notes due 2036 (in global form) (the “</w:t>
      </w:r>
      <w:r>
        <w:rPr>
          <w:rFonts w:ascii="Times New Roman" w:cs="Times New Roman" w:eastAsia="Times New Roman" w:hAnsi="Times New Roman"/>
          <w:sz w:val="14"/>
          <w:szCs w:val="14"/>
          <w:u w:val="single" w:color="auto"/>
          <w:color w:val="auto"/>
        </w:rPr>
        <w:t>Old Notes</w:t>
      </w:r>
      <w:r>
        <w:rPr>
          <w:rFonts w:ascii="Times New Roman" w:cs="Times New Roman" w:eastAsia="Times New Roman" w:hAnsi="Times New Roman"/>
          <w:sz w:val="14"/>
          <w:szCs w:val="14"/>
          <w:color w:val="auto"/>
        </w:rPr>
        <w:t>”) for a like principal amount of its 5.75% Fixed-to-Floating Rate Subordinated Notes due 2036 that have been registered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(in global form) (the “</w:t>
      </w:r>
      <w:r>
        <w:rPr>
          <w:rFonts w:ascii="Times New Roman" w:cs="Times New Roman" w:eastAsia="Times New Roman" w:hAnsi="Times New Roman"/>
          <w:sz w:val="14"/>
          <w:szCs w:val="14"/>
          <w:u w:val="single" w:color="auto"/>
          <w:color w:val="auto"/>
        </w:rPr>
        <w:t>New Notes</w:t>
      </w:r>
      <w:r>
        <w:rPr>
          <w:rFonts w:ascii="Times New Roman" w:cs="Times New Roman" w:eastAsia="Times New Roman" w:hAnsi="Times New Roman"/>
          <w:sz w:val="14"/>
          <w:szCs w:val="14"/>
          <w:color w:val="auto"/>
        </w:rPr>
        <w:t>”). Capitalized terms used but not defined herein have the meanings ascribed to them in the Prospectus.</w:t>
      </w:r>
    </w:p>
    <w:p>
      <w:pPr>
        <w:spacing w:after="0" w:line="141"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14"/>
          <w:szCs w:val="14"/>
          <w:color w:val="auto"/>
        </w:rPr>
        <w:t>The terms of the New Notes are identical in all material respects to the terms of the Old Notes, except that the New Notes are registered under the Securities Act and are generally not subject to transfer restrictions, are not entitled to registration rights under the registration rights agreement that the Company entered into with the initial purchasers of the Old Notes and do not have the right to additional interest under the circumstances described in that registration rights agreement relating to the Company’s fulfillment of its registration obligations. Interest on each New Note will accrue from the last interest payment date on which interest was paid on the Old Note tendered in exchange thereof, or, if no interest has been paid on such Old Notes, from the date of its original issue.</w:t>
      </w:r>
    </w:p>
    <w:p>
      <w:pPr>
        <w:spacing w:after="0" w:line="143" w:lineRule="exact"/>
        <w:rPr>
          <w:sz w:val="20"/>
          <w:szCs w:val="20"/>
          <w:color w:val="auto"/>
        </w:rPr>
      </w:pPr>
    </w:p>
    <w:p>
      <w:pPr>
        <w:jc w:val="both"/>
        <w:ind w:firstLine="495"/>
        <w:spacing w:after="0" w:line="270" w:lineRule="auto"/>
        <w:rPr>
          <w:sz w:val="20"/>
          <w:szCs w:val="20"/>
          <w:color w:val="auto"/>
        </w:rPr>
      </w:pPr>
      <w:r>
        <w:rPr>
          <w:rFonts w:ascii="Times New Roman" w:cs="Times New Roman" w:eastAsia="Times New Roman" w:hAnsi="Times New Roman"/>
          <w:sz w:val="13"/>
          <w:szCs w:val="13"/>
          <w:color w:val="auto"/>
        </w:rPr>
        <w:t>Tender of the Old Notes is to be made by book-entry transfer to the Exchange Agent’s account at the Depository Trust Company (“</w:t>
      </w:r>
      <w:r>
        <w:rPr>
          <w:rFonts w:ascii="Times New Roman" w:cs="Times New Roman" w:eastAsia="Times New Roman" w:hAnsi="Times New Roman"/>
          <w:sz w:val="13"/>
          <w:szCs w:val="13"/>
          <w:u w:val="single" w:color="auto"/>
          <w:color w:val="auto"/>
        </w:rPr>
        <w:t>DTC</w:t>
      </w:r>
      <w:r>
        <w:rPr>
          <w:rFonts w:ascii="Times New Roman" w:cs="Times New Roman" w:eastAsia="Times New Roman" w:hAnsi="Times New Roman"/>
          <w:sz w:val="13"/>
          <w:szCs w:val="13"/>
          <w:color w:val="auto"/>
        </w:rPr>
        <w:t>”) by executing the tender through the DTC Automated Tender Offer Program (“</w:t>
      </w:r>
      <w:r>
        <w:rPr>
          <w:rFonts w:ascii="Times New Roman" w:cs="Times New Roman" w:eastAsia="Times New Roman" w:hAnsi="Times New Roman"/>
          <w:sz w:val="13"/>
          <w:szCs w:val="13"/>
          <w:u w:val="single" w:color="auto"/>
          <w:color w:val="auto"/>
        </w:rPr>
        <w:t>ATOP</w:t>
      </w:r>
      <w:r>
        <w:rPr>
          <w:rFonts w:ascii="Times New Roman" w:cs="Times New Roman" w:eastAsia="Times New Roman" w:hAnsi="Times New Roman"/>
          <w:sz w:val="13"/>
          <w:szCs w:val="13"/>
          <w:color w:val="auto"/>
        </w:rPr>
        <w:t>”), for which the Exchange Offer is eligible. DTC participants that are tendering Old Notes pursuant to the Exchange Offer must transmit their acceptance through the ATOP to DTC, which will verify the acceptance and execute a book-entry delivery to the Exchange Agent’s DTC account. DTC will then send an agent’s message to the Exchange Agent for its acceptance. For you to validly tender your Old Notes pursuant to the Exchange Offer, the Exchange Agent must receive, prior to the Expiration Date, an agent’s message under the ATOP procedures confirming that</w:t>
      </w:r>
    </w:p>
    <w:p>
      <w:pPr>
        <w:jc w:val="both"/>
        <w:ind w:firstLine="2"/>
        <w:spacing w:after="0" w:line="277" w:lineRule="auto"/>
        <w:tabs>
          <w:tab w:leader="none" w:pos="16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DTC has received your instructions to tender your Old Notes and (ii) you agree to be bound by the terms of this Letter of Transmittal. </w:t>
      </w:r>
      <w:r>
        <w:rPr>
          <w:rFonts w:ascii="Times New Roman" w:cs="Times New Roman" w:eastAsia="Times New Roman" w:hAnsi="Times New Roman"/>
          <w:sz w:val="13"/>
          <w:szCs w:val="13"/>
          <w:b w:val="1"/>
          <w:bCs w:val="1"/>
          <w:color w:val="auto"/>
        </w:rPr>
        <w:t>Accordingly, this Letter of Transmittal need not be completed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and delivered by a holder tendering through the ATOP. However, such holder, as a result of its transmission of acceptance to DTC, will be bound by the terms of this Letter of Transmittal and the terms of the Exchange Offer, as described in the Prospectus and this Letter of Transmittal. Delivery by a holder of documents to DTC does not constitute delivery to the Exchange Agent.</w:t>
      </w:r>
    </w:p>
    <w:p>
      <w:pPr>
        <w:spacing w:after="0" w:line="128"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14"/>
          <w:szCs w:val="14"/>
          <w:color w:val="auto"/>
        </w:rPr>
        <w:t>The Company reserves the right, at any time and from time to time, to extend the Exchange Offer, in which case the term “</w:t>
      </w:r>
      <w:r>
        <w:rPr>
          <w:rFonts w:ascii="Times New Roman" w:cs="Times New Roman" w:eastAsia="Times New Roman" w:hAnsi="Times New Roman"/>
          <w:sz w:val="14"/>
          <w:szCs w:val="14"/>
          <w:u w:val="single" w:color="auto"/>
          <w:color w:val="auto"/>
        </w:rPr>
        <w:t>Expiration Date</w:t>
      </w:r>
      <w:r>
        <w:rPr>
          <w:rFonts w:ascii="Times New Roman" w:cs="Times New Roman" w:eastAsia="Times New Roman" w:hAnsi="Times New Roman"/>
          <w:sz w:val="14"/>
          <w:szCs w:val="14"/>
          <w:color w:val="auto"/>
        </w:rPr>
        <w:t>” means the latest date and time to which the Exchange Offer is extended by the Company. In order to extend the Exchange Offer, the Company will notify the Exchange Agent, each registered holder and each beneficial owner of Old Notes by oral (confirmed in writing) or written notice or will issue a press release or other public announcement of such extension, each prior to 9:00 a.m., New York City time, on the next business day after the previously scheduled Expiration Date. The Exchange Offer is not conditioned upon the tender of any minimum aggregate principal amount of Old Notes.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Company has not provided guaranteed delivery procedures in conjunction with this Exchange Offer or under any of the Prospectus or other materials provided herewith.</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Ladies and Gentlemen:</w:t>
      </w:r>
    </w:p>
    <w:p>
      <w:pPr>
        <w:spacing w:after="0" w:line="173"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4"/>
          <w:szCs w:val="14"/>
          <w:color w:val="auto"/>
        </w:rPr>
        <w:t>Upon the terms and subject to the conditions of the Exchange Offer, the undersigned hereby tenders to the Company for exchange the principal amount of Old Notes credited by the undersigned to the Exchange Agent’s account at DTC using the ATOP (the “</w:t>
      </w:r>
      <w:r>
        <w:rPr>
          <w:rFonts w:ascii="Times New Roman" w:cs="Times New Roman" w:eastAsia="Times New Roman" w:hAnsi="Times New Roman"/>
          <w:sz w:val="14"/>
          <w:szCs w:val="14"/>
          <w:u w:val="single" w:color="auto"/>
          <w:color w:val="auto"/>
        </w:rPr>
        <w:t>Tendered Notes</w:t>
      </w:r>
      <w:r>
        <w:rPr>
          <w:rFonts w:ascii="Times New Roman" w:cs="Times New Roman" w:eastAsia="Times New Roman" w:hAnsi="Times New Roman"/>
          <w:sz w:val="14"/>
          <w:szCs w:val="14"/>
          <w:color w:val="auto"/>
        </w:rPr>
        <w:t>”). The undersigned is the beneficial owner of all the Tendered Notes. Subject to, and effective upon, the acceptance for exchange of the Tendered Notes, the undersigned hereby sells, assigns and transfers to, or upon the order of, the Company all right, title and interest in and to the Tendered Notes.</w:t>
      </w:r>
    </w:p>
    <w:p>
      <w:pPr>
        <w:spacing w:after="0" w:line="140"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14"/>
          <w:szCs w:val="14"/>
          <w:color w:val="auto"/>
        </w:rPr>
        <w:t>The undersigned hereby irrevocably constitutes and appoints the Exchange Agent its agent and attorney-in-fact (with full knowledge that the Exchange Agent also acts as the agent of the Company) with respect to the Tendered Notes with the full power of substitution to (i) transfer ownership of the Tendered Notes, on the account books maintained by DTC, and to deliver all accompanying evidences of transfer and authenticity to, or upon the order of, the Company upon receipt by the Exchange Agent, as the undersigned’s agent, of the New Notes to which the undersigned is entitled upon the acceptance by the Company of the Tendered Notes for exchange pursuant to the Exchange Offer; (ii) present the Tendered Notes for transfer on the books of the Company and (iii) receive all benefits and otherwise exercise all rights of beneficial ownership of the Tendered Notes, all in accordance with the terms of the Exchange Offer. The power of attorney granted in this paragraph shall be an irrevocable power coupled with an interest.</w:t>
      </w:r>
    </w:p>
    <w:p>
      <w:pPr>
        <w:spacing w:after="0" w:line="148"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4"/>
          <w:szCs w:val="14"/>
          <w:color w:val="auto"/>
        </w:rPr>
        <w:t>The undersigned hereby represents and warrants that the undersigned has full power and authority to tender, exchange, assign and transfer the Tendered Notes and that when such Tendered Notes are accepted for exchange, the Company will acquire good and unencumbered title thereto, free and clear of all security interests, liens, restrictions, charges, encumbrances, conditional sale agreements or other obligations relating to their sale and transfer and not subject to any adverse claim when the same are accepted by the Company and that the information set forth herein is correct.</w:t>
      </w:r>
    </w:p>
    <w:p>
      <w:pPr>
        <w:spacing w:after="0" w:line="140"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4"/>
          <w:szCs w:val="14"/>
          <w:color w:val="auto"/>
        </w:rPr>
        <w:t>If the undersigned is not a broker-dealer, the undersigned represents that it is not an “affiliate”, as defined in Rule 405 under the Securities Act, of the Company, is not participating, does not intend to participate and has no arrangement or understanding with any person to participate, in a “distribution”, as defined in the Securities Act, of New Notes, is acquiring the New Notes in its ordinary course of business, and is not acting on behalf of any person who could not truthfully make the foregoing representations.</w:t>
      </w:r>
    </w:p>
    <w:p>
      <w:pPr>
        <w:spacing w:after="0" w:line="140" w:lineRule="exact"/>
        <w:rPr>
          <w:sz w:val="20"/>
          <w:szCs w:val="20"/>
          <w:color w:val="auto"/>
        </w:rPr>
      </w:pPr>
    </w:p>
    <w:p>
      <w:pPr>
        <w:jc w:val="both"/>
        <w:ind w:firstLine="495"/>
        <w:spacing w:after="0" w:line="252" w:lineRule="auto"/>
        <w:rPr>
          <w:sz w:val="20"/>
          <w:szCs w:val="20"/>
          <w:color w:val="auto"/>
        </w:rPr>
      </w:pPr>
      <w:r>
        <w:rPr>
          <w:rFonts w:ascii="Times New Roman" w:cs="Times New Roman" w:eastAsia="Times New Roman" w:hAnsi="Times New Roman"/>
          <w:sz w:val="14"/>
          <w:szCs w:val="14"/>
          <w:color w:val="auto"/>
        </w:rPr>
        <w:t>If the undersigned is a broker-dealer that will receive New Notes for its own account in exchange for Old Notes, it represents that the Old Notes to be exchanged for New Notes were acquired by it as a result of market-making or other trading activities and that it has not entered into any arrangement or understanding with the Company or any of its affiliates to distribute the New Notes and acknowledges that it will deliver a prospectus meeting the requirements of the Securities Act in connection with any resale of such New Notes; however, by so acknowledging and by delivering such a prospectus, the undersigned will not be deemed to admit that it is an “underwriter” within the meaning of the Securities Act (other than in connection with a resale of an unsold allotment from the original sale of the Old Notes).</w:t>
      </w:r>
    </w:p>
    <w:p>
      <w:pPr>
        <w:spacing w:after="0" w:line="144"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14"/>
          <w:szCs w:val="14"/>
          <w:color w:val="auto"/>
        </w:rPr>
        <w:t>For purposes of the Exchange Offer, the Company shall be deemed to have accepted for exchange validly tendered Old Notes when, as and if the Company gives oral or written notice thereof to the Exchange Agent. New Notes issued in exchange for the Old Notes accepted for exchange will be issued in the name of the undersigned. Any Tendered Notes that are not accepted for exchange pursuant to the Exchange Offer for any reason will be returned, without expense, to the undersigned’s account at DTC, pursuant to the book-entry procedures described in the Prospectus, promptly after the Expiration Date or the Company’s withdrawal of the Exchange Offer, as applicable.</w:t>
      </w:r>
    </w:p>
    <w:p>
      <w:pPr>
        <w:spacing w:after="0" w:line="143" w:lineRule="exact"/>
        <w:rPr>
          <w:sz w:val="20"/>
          <w:szCs w:val="20"/>
          <w:color w:val="auto"/>
        </w:rPr>
      </w:pPr>
    </w:p>
    <w:p>
      <w:pPr>
        <w:jc w:val="both"/>
        <w:ind w:firstLine="495"/>
        <w:spacing w:after="0" w:line="252" w:lineRule="auto"/>
        <w:rPr>
          <w:sz w:val="20"/>
          <w:szCs w:val="20"/>
          <w:color w:val="auto"/>
        </w:rPr>
      </w:pPr>
      <w:r>
        <w:rPr>
          <w:rFonts w:ascii="Times New Roman" w:cs="Times New Roman" w:eastAsia="Times New Roman" w:hAnsi="Times New Roman"/>
          <w:sz w:val="14"/>
          <w:szCs w:val="14"/>
          <w:color w:val="auto"/>
        </w:rPr>
        <w:t>The undersigned will, upon request, execute and deliver any additional documents to the Company deemed by the Company or the Exchange Agent to be necessary or desirable to complete the exchange, assignment and transfer of the Tendered Notes. All authority conferred or agreed to be conferred in this Letter of Transmittal and every obligation of the undersigned hereunder shall be binding upon the successors, assigns, heirs, executors, administrators, trustees in bankruptcy and legal representatives of the undersigned, and shall not be affected by, and shall survive the death or incapacity of, the undersigned. The undersigned understands that tenders of the Tendered Notes pursuant to the procedures described in the Prospectus and the instructions herein will constitute a binding agreement between the undersigned and the Company in accordance with the terms and subject to the conditions set forth herein and in the Prospectus.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HBT FINANCIAL, INC.</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INSTRUCTIONS TO LETTER OF TRANSMITTAL</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FORMING PART OF THE TERMS AND CONDITIONS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EXCHANGE OFFER</w:t>
      </w:r>
    </w:p>
    <w:p>
      <w:pPr>
        <w:spacing w:after="0" w:line="151" w:lineRule="exact"/>
        <w:rPr>
          <w:sz w:val="20"/>
          <w:szCs w:val="20"/>
          <w:color w:val="auto"/>
        </w:rPr>
      </w:pPr>
    </w:p>
    <w:p>
      <w:pPr>
        <w:jc w:val="both"/>
        <w:ind w:firstLine="495"/>
        <w:spacing w:after="0" w:line="291" w:lineRule="auto"/>
        <w:rPr>
          <w:sz w:val="20"/>
          <w:szCs w:val="20"/>
          <w:color w:val="auto"/>
        </w:rPr>
      </w:pPr>
      <w:r>
        <w:rPr>
          <w:rFonts w:ascii="Times New Roman" w:cs="Times New Roman" w:eastAsia="Times New Roman" w:hAnsi="Times New Roman"/>
          <w:sz w:val="13"/>
          <w:szCs w:val="13"/>
          <w:i w:val="1"/>
          <w:iCs w:val="1"/>
          <w:color w:val="auto"/>
        </w:rPr>
        <w:t>Instruction 1: Book-Entry Confirmations</w:t>
      </w:r>
      <w:r>
        <w:rPr>
          <w:rFonts w:ascii="Times New Roman" w:cs="Times New Roman" w:eastAsia="Times New Roman" w:hAnsi="Times New Roman"/>
          <w:sz w:val="13"/>
          <w:szCs w:val="13"/>
          <w:color w:val="auto"/>
        </w:rPr>
        <w:t>. For a holder to properly tender Old Notes in book-entry form pursuant to the Exchange Offer, a properly transmitted agent’s message must be received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Exchange Agent at its address set forth herein on or prior to the Expiration Date. The Tendered Notes must be transferred pursuant to the procedures for book-entry transfer described in the Prospectus under the section entitled “</w:t>
      </w:r>
      <w:r>
        <w:rPr>
          <w:rFonts w:ascii="Times New Roman" w:cs="Times New Roman" w:eastAsia="Times New Roman" w:hAnsi="Times New Roman"/>
          <w:sz w:val="13"/>
          <w:szCs w:val="13"/>
          <w:i w:val="1"/>
          <w:iCs w:val="1"/>
          <w:color w:val="auto"/>
        </w:rPr>
        <w:t>The Exchange Offer — Procedures for Tendering Old Notes</w:t>
      </w:r>
      <w:r>
        <w:rPr>
          <w:rFonts w:ascii="Times New Roman" w:cs="Times New Roman" w:eastAsia="Times New Roman" w:hAnsi="Times New Roman"/>
          <w:sz w:val="13"/>
          <w:szCs w:val="13"/>
          <w:color w:val="auto"/>
        </w:rPr>
        <w:t>” and a book-entry confirmation must be received by the Exchange Agent on or prior to the Expiration Date.</w:t>
      </w:r>
    </w:p>
    <w:p>
      <w:pPr>
        <w:spacing w:after="0" w:line="120" w:lineRule="exact"/>
        <w:rPr>
          <w:sz w:val="20"/>
          <w:szCs w:val="20"/>
          <w:color w:val="auto"/>
        </w:rPr>
      </w:pPr>
    </w:p>
    <w:p>
      <w:pPr>
        <w:jc w:val="both"/>
        <w:ind w:firstLine="495"/>
        <w:spacing w:after="0" w:line="249" w:lineRule="auto"/>
        <w:rPr>
          <w:sz w:val="20"/>
          <w:szCs w:val="20"/>
          <w:color w:val="auto"/>
        </w:rPr>
      </w:pPr>
      <w:r>
        <w:rPr>
          <w:rFonts w:ascii="Times New Roman" w:cs="Times New Roman" w:eastAsia="Times New Roman" w:hAnsi="Times New Roman"/>
          <w:sz w:val="14"/>
          <w:szCs w:val="14"/>
          <w:color w:val="auto"/>
        </w:rPr>
        <w:t>Beneficial owners of Old Notes may tender Old Notes by book-entry transfer by crediting the Old Notes to the Exchange Agent’s account at DTC in accordance with DTC’s Automated Tender Offer Program and by complying with applicable ATOP procedures with respect to the Exchange Offer. To the extent any procedural terms herein conflict with the ATOP procedures, the ATOP procedures will govern. DTC participants that are accepting the Exchange Offer should transmit their acceptance to DTC, which will edit and verify the acceptance and execute a book-entry delivery to the Exchange Agent’s account at DTC. DTC will then send a computer-generated message (an “</w:t>
      </w:r>
      <w:r>
        <w:rPr>
          <w:rFonts w:ascii="Times New Roman" w:cs="Times New Roman" w:eastAsia="Times New Roman" w:hAnsi="Times New Roman"/>
          <w:sz w:val="14"/>
          <w:szCs w:val="14"/>
          <w:u w:val="single" w:color="auto"/>
          <w:color w:val="auto"/>
        </w:rPr>
        <w:t>Agent’s Message</w:t>
      </w:r>
      <w:r>
        <w:rPr>
          <w:rFonts w:ascii="Times New Roman" w:cs="Times New Roman" w:eastAsia="Times New Roman" w:hAnsi="Times New Roman"/>
          <w:sz w:val="14"/>
          <w:szCs w:val="14"/>
          <w:color w:val="auto"/>
        </w:rPr>
        <w:t>”) to the Exchange Agent for its acceptance in which the beneficial owner of the Old Notes acknowledges and agrees to be bound by the terms of, and makes the representations and warranties contained in, this Letter of Transmittal or the DTC participant confirms on behalf of itself and the beneficial owners of such Old Notes all provisions of this Letter of Transmittal (including any representations and warranties) applicable to it and such beneficial owners as fully as if it had completed the information required herein and executed and transmitted this Letter of Transmittal to the Exchange Agent. Delivery of the Agent’s Message by DTC will satisfy the terms of the Exchange Offer as to execution and delivery of a Letter of Transmittal by the participants identified in the Agent’s Message.</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method of delivery of any required documents is at the election and risk of the holder, and the delivery will be deemed made only when actually received or confirmed by the Exchange Agent.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such delivery is by mail, it is suggested that registered mail with return receipt requested, properly insured, be used. In all cases, sufficient time should be allowed to permit timely delivery.</w:t>
      </w:r>
    </w:p>
    <w:p>
      <w:pPr>
        <w:spacing w:after="0" w:line="151"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Instruction 2: Partial Tenders. </w:t>
      </w:r>
      <w:r>
        <w:rPr>
          <w:rFonts w:ascii="Times New Roman" w:cs="Times New Roman" w:eastAsia="Times New Roman" w:hAnsi="Times New Roman"/>
          <w:sz w:val="14"/>
          <w:szCs w:val="14"/>
          <w:color w:val="auto"/>
        </w:rPr>
        <w:t>Tendered Notes must be in a minimum principal amount of US$100,000 or an integral multiple of US$1,000 in excess thereof. If less than the entire principal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amount of the Old Notes evidenced by materials provided in accordance with the ATOP procedures, the tendering beneficial owner(s) should indicate the aggregate principal amount of Old Notes to be tendered to DTC in accordance with ATOP procedures. The entire principal amount of Old Notes delivered to the Exchange Agent will be deemed to have been tendered unless otherwise indicated. If the entire principal amount of Old Notes held by the tendering beneficial owner is not tendered for exchange, then untendered Old Notes will be issued in accordance with ATOP procedures.</w:t>
      </w:r>
    </w:p>
    <w:p>
      <w:pPr>
        <w:spacing w:after="0" w:line="137" w:lineRule="exact"/>
        <w:rPr>
          <w:sz w:val="20"/>
          <w:szCs w:val="20"/>
          <w:color w:val="auto"/>
        </w:rPr>
      </w:pPr>
    </w:p>
    <w:p>
      <w:pPr>
        <w:jc w:val="both"/>
        <w:ind w:firstLine="495"/>
        <w:spacing w:after="0" w:line="274" w:lineRule="auto"/>
        <w:rPr>
          <w:sz w:val="20"/>
          <w:szCs w:val="20"/>
          <w:color w:val="auto"/>
        </w:rPr>
      </w:pPr>
      <w:r>
        <w:rPr>
          <w:rFonts w:ascii="Times New Roman" w:cs="Times New Roman" w:eastAsia="Times New Roman" w:hAnsi="Times New Roman"/>
          <w:sz w:val="13"/>
          <w:szCs w:val="13"/>
          <w:i w:val="1"/>
          <w:iCs w:val="1"/>
          <w:color w:val="auto"/>
        </w:rPr>
        <w:t xml:space="preserve">Instruction 3: Withdrawal. </w:t>
      </w:r>
      <w:r>
        <w:rPr>
          <w:rFonts w:ascii="Times New Roman" w:cs="Times New Roman" w:eastAsia="Times New Roman" w:hAnsi="Times New Roman"/>
          <w:sz w:val="13"/>
          <w:szCs w:val="13"/>
          <w:color w:val="auto"/>
        </w:rPr>
        <w:t>Tenders of Old Notes may be withdrawn at any time prior to 11:59 p.m., New York City time, on the Expiration Date. For a withdrawal of tendered Old Notes to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effective, the Exchange Agent must receive, on or prior to the Expiration Date, a computer-generated notice of withdrawal transmitted on behalf of DTC on behalf of the holder in accordance with DTC’s procedures. Any such notice of withdrawal must (1) specify the name of the tendering holder of Old Notes to be withdrawn, (2) specify the principal amount of the Old Notes delivered for exchange,</w:t>
      </w:r>
    </w:p>
    <w:p>
      <w:pPr>
        <w:ind w:firstLine="2"/>
        <w:spacing w:after="0" w:line="251" w:lineRule="auto"/>
        <w:tabs>
          <w:tab w:leader="none" w:pos="19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a statement that such holder is withdrawing its election to have such Old Notes exchanged, (4) specify the name and number of the account at DTC to be credited with the withdrawn Old Notes, and (5) otherwise comply with the procedures of DTC.</w:t>
      </w:r>
    </w:p>
    <w:p>
      <w:pPr>
        <w:spacing w:after="0" w:line="144"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4"/>
          <w:szCs w:val="14"/>
          <w:color w:val="auto"/>
        </w:rPr>
        <w:t>Any permitted withdrawal of Old Notes may not be rescinded. Any Old Notes properly withdrawn will thereafter be deemed not validly tendered for purposes of the Exchange Offer. However, properly withdrawn Old Notes may be re-tendered by following the procedures described in the Prospectus under the section entitled “</w:t>
      </w:r>
      <w:r>
        <w:rPr>
          <w:rFonts w:ascii="Times New Roman" w:cs="Times New Roman" w:eastAsia="Times New Roman" w:hAnsi="Times New Roman"/>
          <w:sz w:val="14"/>
          <w:szCs w:val="14"/>
          <w:i w:val="1"/>
          <w:iCs w:val="1"/>
          <w:color w:val="auto"/>
        </w:rPr>
        <w:t>The Exchange Offer — Procedures for Tendering Old Notes</w:t>
      </w:r>
      <w:r>
        <w:rPr>
          <w:rFonts w:ascii="Times New Roman" w:cs="Times New Roman" w:eastAsia="Times New Roman" w:hAnsi="Times New Roman"/>
          <w:sz w:val="14"/>
          <w:szCs w:val="14"/>
          <w:color w:val="auto"/>
        </w:rPr>
        <w:t>” at any time prior to the Expiration Date.</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72" w:name="page73"/>
    <w:bookmarkEnd w:id="72"/>
    <w:p>
      <w:pPr>
        <w:jc w:val="both"/>
        <w:ind w:firstLine="495"/>
        <w:spacing w:after="0" w:line="258" w:lineRule="auto"/>
        <w:rPr>
          <w:sz w:val="20"/>
          <w:szCs w:val="20"/>
          <w:color w:val="auto"/>
        </w:rPr>
      </w:pPr>
      <w:r>
        <w:rPr>
          <w:rFonts w:ascii="Times New Roman" w:cs="Times New Roman" w:eastAsia="Times New Roman" w:hAnsi="Times New Roman"/>
          <w:sz w:val="14"/>
          <w:szCs w:val="14"/>
          <w:color w:val="auto"/>
        </w:rPr>
        <w:t>All questions as to the validity, form and eligibility (including time of receipt) of such withdrawal notices will be determined by the Company, in its sole discretion, which determination shall be final and binding on all parties. Neither the Company, any affiliates of the Company, the Exchange Agent nor any other person shall be under any duty to give any notification of any defects or irregularities in any notice of withdrawal or incur any liability for failure to give any such notification.</w:t>
      </w:r>
    </w:p>
    <w:p>
      <w:pPr>
        <w:spacing w:after="0" w:line="136" w:lineRule="exact"/>
        <w:rPr>
          <w:sz w:val="20"/>
          <w:szCs w:val="20"/>
          <w:color w:val="auto"/>
        </w:rPr>
      </w:pPr>
    </w:p>
    <w:p>
      <w:pPr>
        <w:jc w:val="both"/>
        <w:ind w:firstLine="495"/>
        <w:spacing w:after="0" w:line="277" w:lineRule="auto"/>
        <w:rPr>
          <w:sz w:val="20"/>
          <w:szCs w:val="20"/>
          <w:color w:val="auto"/>
        </w:rPr>
      </w:pPr>
      <w:r>
        <w:rPr>
          <w:rFonts w:ascii="Times New Roman" w:cs="Times New Roman" w:eastAsia="Times New Roman" w:hAnsi="Times New Roman"/>
          <w:sz w:val="14"/>
          <w:szCs w:val="14"/>
          <w:i w:val="1"/>
          <w:iCs w:val="1"/>
          <w:color w:val="auto"/>
        </w:rPr>
        <w:t xml:space="preserve">Instruction 4: Transfer Taxes. </w:t>
      </w:r>
      <w:r>
        <w:rPr>
          <w:rFonts w:ascii="Times New Roman" w:cs="Times New Roman" w:eastAsia="Times New Roman" w:hAnsi="Times New Roman"/>
          <w:sz w:val="14"/>
          <w:szCs w:val="14"/>
          <w:color w:val="auto"/>
        </w:rPr>
        <w:t>The Company will pay all transfer taxes, if any, applicable to the exchange of Tendered Notes under the Exchange Offer. The tendering beneficial owner, however,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be required to pay any transfer taxes, whether imposed on the beneficial owner or any other person, if:</w:t>
      </w:r>
    </w:p>
    <w:p>
      <w:pPr>
        <w:spacing w:after="0" w:line="127" w:lineRule="exact"/>
        <w:rPr>
          <w:sz w:val="20"/>
          <w:szCs w:val="20"/>
          <w:color w:val="auto"/>
        </w:rPr>
      </w:pPr>
    </w:p>
    <w:p>
      <w:pPr>
        <w:ind w:left="500" w:hanging="250"/>
        <w:spacing w:after="0"/>
        <w:tabs>
          <w:tab w:leader="none" w:pos="5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Notes and/or substitute Old Notes not exchanged are to be delivered to, or registered or issued in the name of, any person other than the registered holder; or</w:t>
      </w:r>
    </w:p>
    <w:p>
      <w:pPr>
        <w:spacing w:after="0" w:line="168" w:lineRule="exact"/>
        <w:rPr>
          <w:rFonts w:ascii="Times New Roman" w:cs="Times New Roman" w:eastAsia="Times New Roman" w:hAnsi="Times New Roman"/>
          <w:sz w:val="14"/>
          <w:szCs w:val="14"/>
          <w:color w:val="auto"/>
        </w:rPr>
      </w:pPr>
    </w:p>
    <w:p>
      <w:pPr>
        <w:ind w:left="500" w:hanging="250"/>
        <w:spacing w:after="0"/>
        <w:tabs>
          <w:tab w:leader="none" w:pos="5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transfer tax is imposed for any reason other than the exchange of Tendered Notes under the Exchange Offer.</w:t>
      </w:r>
    </w:p>
    <w:p>
      <w:pPr>
        <w:spacing w:after="0" w:line="169" w:lineRule="exact"/>
        <w:rPr>
          <w:sz w:val="20"/>
          <w:szCs w:val="20"/>
          <w:color w:val="auto"/>
        </w:rPr>
      </w:pPr>
    </w:p>
    <w:p>
      <w:pPr>
        <w:jc w:val="both"/>
        <w:ind w:firstLine="495"/>
        <w:spacing w:after="0" w:line="271" w:lineRule="auto"/>
        <w:rPr>
          <w:sz w:val="20"/>
          <w:szCs w:val="20"/>
          <w:color w:val="auto"/>
        </w:rPr>
      </w:pPr>
      <w:r>
        <w:rPr>
          <w:rFonts w:ascii="Times New Roman" w:cs="Times New Roman" w:eastAsia="Times New Roman" w:hAnsi="Times New Roman"/>
          <w:sz w:val="14"/>
          <w:szCs w:val="14"/>
          <w:color w:val="auto"/>
        </w:rPr>
        <w:t>If satisfactory evidence of payment of transfer taxes, if applicable per the above, is not submitted with this Letter of Transmittal, the amount of any transfer taxes will be billed to the tendering beneficial owner.</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 xml:space="preserve">Instruction 5: Waiver of Conditions. </w:t>
      </w:r>
      <w:r>
        <w:rPr>
          <w:rFonts w:ascii="Times New Roman" w:cs="Times New Roman" w:eastAsia="Times New Roman" w:hAnsi="Times New Roman"/>
          <w:sz w:val="14"/>
          <w:szCs w:val="14"/>
          <w:color w:val="auto"/>
        </w:rPr>
        <w:t>The Company reserves the absolute right to waive any or all conditions relating to the Exchange Offer set forth in the Prospectus.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 xml:space="preserve">Instruction 6: No Conditional Tenders. </w:t>
      </w:r>
      <w:r>
        <w:rPr>
          <w:rFonts w:ascii="Times New Roman" w:cs="Times New Roman" w:eastAsia="Times New Roman" w:hAnsi="Times New Roman"/>
          <w:sz w:val="14"/>
          <w:szCs w:val="14"/>
          <w:color w:val="auto"/>
        </w:rPr>
        <w:t>No alternative, conditional, irregular or contingent tenders will be accepted.</w:t>
      </w:r>
    </w:p>
    <w:p>
      <w:pPr>
        <w:spacing w:after="0" w:line="169"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Instruction 7: Validity of Tenders. </w:t>
      </w:r>
      <w:r>
        <w:rPr>
          <w:rFonts w:ascii="Times New Roman" w:cs="Times New Roman" w:eastAsia="Times New Roman" w:hAnsi="Times New Roman"/>
          <w:sz w:val="14"/>
          <w:szCs w:val="14"/>
          <w:color w:val="auto"/>
        </w:rPr>
        <w:t>All questions as to the validity, form, eligibility (including time of receipt), acceptance and withdrawal of Tendered Notes will be determined by the Company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sole discretion, which determination will, subject to applicable law, be final and binding. The Company reserves the absolute right to reject any and all Tendered Notes not properly tendered or any Tendered Notes, the Company’s acceptance of which would, in the opinion of counsel for the Company, be unlawful. The Company also reserves the right in its sole discretion to waive any defects, irregularities or conditions of tender as to any Tendered Notes. The Company’s interpretation of the terms and conditions of the Exchange Offer (including the Instructions in this Letter of Transmittal) will, subject to applicable law, be final and binding on all parties. Unless waived, any defects or irregularities in connection with Tendered Notes must be cured within such time as the Company shall determine. Although the Company (or the Exchange Agent on behalf of the Company) intends to notify registered holders and beneficial owners of defects or irregularities with respect to tenders of Tendered Notes, neither the Company, the Exchange Agent nor any other person shall incur any liability for failure to give such notification. Tenders of Tendered Notes will not be deemed to have been made until such defects or irregularities have been cured by the applicable registered holder(s) or beneficial owner(s) or waived by the Company.</w:t>
      </w:r>
    </w:p>
    <w:p>
      <w:pPr>
        <w:spacing w:after="0" w:line="142"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Instruction 8: Acceptance of Tendered Notes and Issuance of Notes; Return of Notes. </w:t>
      </w:r>
      <w:r>
        <w:rPr>
          <w:rFonts w:ascii="Times New Roman" w:cs="Times New Roman" w:eastAsia="Times New Roman" w:hAnsi="Times New Roman"/>
          <w:sz w:val="14"/>
          <w:szCs w:val="14"/>
          <w:color w:val="auto"/>
        </w:rPr>
        <w:t>Subject to the terms and conditions of the Exchange Offer, the Company will accept for exchange all validly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tendered Old Notes as promptly as practicable after the Expiration Date and will issue New Notes therefor as promptly as practicable thereafter. For purposes of the Exchange Offer, the Company shall be deemed to have accepted validly tendered Old Notes when the Company has given written notice thereof to the Exchange Agent. Each tendering holder, by delivery of an Agent’s Message, waives any right to receive any notice of the acceptance of such tender. If any Tendered Notes are not exchanged pursuant to the Exchange Offer for any reason, such unexchanged Tendered Notes, will be returned in accordance with ATOP procedures.</w:t>
      </w:r>
    </w:p>
    <w:p>
      <w:pPr>
        <w:spacing w:after="0" w:line="141"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Instruction 9: Requests for Assistance or Additional Copies. </w:t>
      </w:r>
      <w:r>
        <w:rPr>
          <w:rFonts w:ascii="Times New Roman" w:cs="Times New Roman" w:eastAsia="Times New Roman" w:hAnsi="Times New Roman"/>
          <w:sz w:val="14"/>
          <w:szCs w:val="14"/>
          <w:color w:val="auto"/>
        </w:rPr>
        <w:t>Questions relating to the procedures for tendering, as well as requests for additional copies of the Prospectus and this Letter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Transmittal, may be directed to the Exchange Agent at the address and email set forth on the front cover hereof. Holders may also contact their broker, dealer, commercial bank, trust company or other nominee for assistance concerning the Exchange Offer.</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b w:val="1"/>
          <w:bCs w:val="1"/>
          <w:color w:val="auto"/>
        </w:rPr>
        <w:t>IMPORTANT: BY USING THE ATOP PROCEDURES TO TENDER OLD NOTES, YOU WILL NOT BE REQUIRED TO DELIVER THIS LETTER OF TRANSMITTAL TO THE EXCHANGE AGENT. HOWEVER, YOU WILL BE BOUND BY THE TERMS, AND YOU WILL BE DEEMED TO HAVE MADE THE ACKNOWLEDGEMENTS AND THE REPRESENTATIONS AND WARRANTIES IT CONTAINS, JUST AS IF YOU HAD SIGNED IT.</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16470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73" w:name="page74"/>
    <w:bookmarkEnd w:id="73"/>
    <w:p>
      <w:pPr>
        <w:spacing w:after="0" w:line="62" w:lineRule="exact"/>
        <w:rPr>
          <w:sz w:val="20"/>
          <w:szCs w:val="20"/>
          <w:color w:val="auto"/>
        </w:rPr>
      </w:pPr>
    </w:p>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4"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S-4</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HBT Financial, Inc.</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0" w:type="dxa"/>
            <w:vAlign w:val="bottom"/>
            <w:tcBorders>
              <w:bottom w:val="single" w:sz="8" w:color="auto"/>
            </w:tcBorders>
          </w:tcPr>
          <w:p>
            <w:pPr>
              <w:spacing w:after="0"/>
              <w:rPr>
                <w:sz w:val="23"/>
                <w:szCs w:val="23"/>
                <w:color w:val="auto"/>
              </w:rPr>
            </w:pPr>
          </w:p>
        </w:tc>
        <w:tc>
          <w:tcPr>
            <w:tcW w:w="4480" w:type="dxa"/>
            <w:vAlign w:val="bottom"/>
            <w:tcBorders>
              <w:bottom w:val="single" w:sz="8" w:color="auto"/>
            </w:tcBorders>
            <w:gridSpan w:val="11"/>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1000" w:type="dxa"/>
            <w:vAlign w:val="bottom"/>
            <w:shd w:val="clear" w:color="auto" w:fill="9ADAF6"/>
          </w:tcPr>
          <w:p>
            <w:pPr>
              <w:ind w:left="18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58"/>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1000" w:type="dxa"/>
            <w:vAlign w:val="bottom"/>
            <w:shd w:val="clear" w:color="auto" w:fill="9ADAF6"/>
          </w:tcPr>
          <w:p>
            <w:pPr>
              <w:ind w:left="80"/>
              <w:spacing w:after="0"/>
              <w:rPr>
                <w:sz w:val="20"/>
                <w:szCs w:val="20"/>
                <w:color w:val="auto"/>
              </w:rPr>
            </w:pPr>
            <w:r>
              <w:rPr>
                <w:rFonts w:ascii="Arial" w:cs="Arial" w:eastAsia="Arial" w:hAnsi="Arial"/>
                <w:sz w:val="16"/>
                <w:szCs w:val="16"/>
                <w:b w:val="1"/>
                <w:bCs w:val="1"/>
                <w:color w:val="auto"/>
              </w:rPr>
              <w:t>Class 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6"/>
                <w:szCs w:val="16"/>
                <w:color w:val="auto"/>
              </w:rPr>
            </w:pPr>
          </w:p>
        </w:tc>
        <w:tc>
          <w:tcPr>
            <w:tcW w:w="10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Carried</w:t>
            </w: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gridSpan w:val="5"/>
          </w:tcPr>
          <w:p>
            <w:pPr>
              <w:jc w:val="center"/>
              <w:ind w:right="33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5.75% Fixed-</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20"/>
                <w:szCs w:val="20"/>
                <w:color w:val="auto"/>
              </w:rPr>
            </w:pPr>
            <w:r>
              <w:rPr>
                <w:rFonts w:ascii="Arial" w:cs="Arial" w:eastAsia="Arial" w:hAnsi="Arial"/>
                <w:sz w:val="16"/>
                <w:szCs w:val="16"/>
                <w:color w:val="auto"/>
              </w:rPr>
              <w:t>to-Floating</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20"/>
                <w:szCs w:val="20"/>
                <w:color w:val="auto"/>
              </w:rPr>
            </w:pPr>
            <w:r>
              <w:rPr>
                <w:rFonts w:ascii="Arial" w:cs="Arial" w:eastAsia="Arial" w:hAnsi="Arial"/>
                <w:sz w:val="16"/>
                <w:szCs w:val="16"/>
                <w:color w:val="auto"/>
              </w:rPr>
              <w:t>Rate</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Other</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85,000,000</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$ 11,738.50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20"/>
                <w:szCs w:val="20"/>
                <w:color w:val="auto"/>
              </w:rPr>
            </w:pPr>
            <w:r>
              <w:rPr>
                <w:rFonts w:ascii="Arial" w:cs="Arial" w:eastAsia="Arial" w:hAnsi="Arial"/>
                <w:sz w:val="16"/>
                <w:szCs w:val="16"/>
                <w:color w:val="auto"/>
              </w:rPr>
              <w:t>Subordinated</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jc w:val="right"/>
              <w:spacing w:after="0"/>
              <w:rPr>
                <w:sz w:val="20"/>
                <w:szCs w:val="20"/>
                <w:color w:val="auto"/>
              </w:rPr>
            </w:pPr>
            <w:r>
              <w:rPr>
                <w:rFonts w:ascii="Arial" w:cs="Arial" w:eastAsia="Arial" w:hAnsi="Arial"/>
                <w:sz w:val="16"/>
                <w:szCs w:val="16"/>
                <w:color w:val="auto"/>
              </w:rPr>
              <w:t>85,000,000.00</w:t>
            </w: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20"/>
                <w:szCs w:val="20"/>
                <w:color w:val="auto"/>
              </w:rPr>
            </w:pPr>
            <w:r>
              <w:rPr>
                <w:rFonts w:ascii="Arial" w:cs="Arial" w:eastAsia="Arial" w:hAnsi="Arial"/>
                <w:sz w:val="16"/>
                <w:szCs w:val="16"/>
                <w:color w:val="auto"/>
              </w:rPr>
              <w:t>2036</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gridSpan w:val="5"/>
          </w:tcPr>
          <w:p>
            <w:pPr>
              <w:jc w:val="center"/>
              <w:ind w:right="33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$ 11,738.50</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85,000,000.00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4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$ 11,738.50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Rule 457(f) Fee Calculation Details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right="280" w:firstLine="9"/>
        <w:spacing w:after="0" w:line="263" w:lineRule="auto"/>
        <w:tabs>
          <w:tab w:leader="none" w:pos="447"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Maximum Aggregate Offering Price estimated solely for the purpose of calculating the registration fee pursuant to Rule 457(f) under the Securities Act of 1933, as amended. Represents the maximum aggregate offering price of all notes to be offered in the exchange offer to which the registration statement relates.</w:t>
      </w:r>
    </w:p>
    <w:p>
      <w:pPr>
        <w:spacing w:after="0" w:line="137" w:lineRule="exact"/>
        <w:rPr>
          <w:rFonts w:ascii="Arial" w:cs="Arial" w:eastAsia="Arial" w:hAnsi="Arial"/>
          <w:sz w:val="16"/>
          <w:szCs w:val="16"/>
          <w:color w:val="auto"/>
        </w:rPr>
      </w:pPr>
    </w:p>
    <w:p>
      <w:pPr>
        <w:ind w:left="200" w:right="240" w:firstLine="9"/>
        <w:spacing w:after="0" w:line="285" w:lineRule="auto"/>
        <w:tabs>
          <w:tab w:leader="none" w:pos="44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Total Maximum Aggregate Offering Price represents the maximum aggregate offering price of all notes to be offered in the exchange offer to which the registration statement relates.</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2040" w:type="dxa"/>
            <w:vAlign w:val="bottom"/>
            <w:gridSpan w:val="8"/>
          </w:tcPr>
          <w:p>
            <w:pPr>
              <w:jc w:val="center"/>
              <w:ind w:left="98"/>
              <w:spacing w:after="0"/>
              <w:rPr>
                <w:sz w:val="20"/>
                <w:szCs w:val="20"/>
                <w:color w:val="auto"/>
              </w:rPr>
            </w:pPr>
            <w:r>
              <w:rPr>
                <w:rFonts w:ascii="Arial" w:cs="Arial" w:eastAsia="Arial" w:hAnsi="Arial"/>
                <w:sz w:val="16"/>
                <w:szCs w:val="16"/>
                <w:b w:val="1"/>
                <w:bCs w:val="1"/>
                <w:color w:val="auto"/>
              </w:rPr>
              <w:t>Amount of Securities to</w:t>
            </w:r>
          </w:p>
        </w:tc>
        <w:tc>
          <w:tcPr>
            <w:tcW w:w="2200" w:type="dxa"/>
            <w:vAlign w:val="bottom"/>
            <w:gridSpan w:val="5"/>
          </w:tcPr>
          <w:p>
            <w:pPr>
              <w:jc w:val="center"/>
              <w:spacing w:after="0"/>
              <w:rPr>
                <w:sz w:val="20"/>
                <w:szCs w:val="20"/>
                <w:color w:val="auto"/>
              </w:rPr>
            </w:pPr>
            <w:r>
              <w:rPr>
                <w:rFonts w:ascii="Arial" w:cs="Arial" w:eastAsia="Arial" w:hAnsi="Arial"/>
                <w:sz w:val="16"/>
                <w:szCs w:val="16"/>
                <w:b w:val="1"/>
                <w:bCs w:val="1"/>
                <w:color w:val="auto"/>
              </w:rPr>
              <w:t>Value per Share of</w:t>
            </w:r>
          </w:p>
        </w:tc>
        <w:tc>
          <w:tcPr>
            <w:tcW w:w="5520" w:type="dxa"/>
            <w:vAlign w:val="bottom"/>
            <w:gridSpan w:val="22"/>
          </w:tcPr>
          <w:p>
            <w:pPr>
              <w:ind w:left="120"/>
              <w:spacing w:after="0"/>
              <w:rPr>
                <w:sz w:val="20"/>
                <w:szCs w:val="20"/>
                <w:color w:val="auto"/>
              </w:rPr>
            </w:pPr>
            <w:r>
              <w:rPr>
                <w:rFonts w:ascii="Arial" w:cs="Arial" w:eastAsia="Arial" w:hAnsi="Arial"/>
                <w:sz w:val="16"/>
                <w:szCs w:val="16"/>
                <w:b w:val="1"/>
                <w:bCs w:val="1"/>
                <w:color w:val="auto"/>
              </w:rPr>
              <w:t>Total Value of Securities  Cash Consideration  Cash Consideration</w:t>
            </w:r>
          </w:p>
        </w:tc>
        <w:tc>
          <w:tcPr>
            <w:tcW w:w="1500" w:type="dxa"/>
            <w:vAlign w:val="bottom"/>
            <w:gridSpan w:val="7"/>
          </w:tcPr>
          <w:p>
            <w:pPr>
              <w:jc w:val="center"/>
              <w:spacing w:after="0"/>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6"/>
          </w:tcPr>
          <w:p>
            <w:pPr>
              <w:jc w:val="center"/>
              <w:ind w:right="280"/>
              <w:spacing w:after="0"/>
              <w:rPr>
                <w:sz w:val="20"/>
                <w:szCs w:val="20"/>
                <w:color w:val="auto"/>
              </w:rPr>
            </w:pPr>
            <w:r>
              <w:rPr>
                <w:rFonts w:ascii="Arial" w:cs="Arial" w:eastAsia="Arial" w:hAnsi="Arial"/>
                <w:sz w:val="16"/>
                <w:szCs w:val="16"/>
                <w:b w:val="1"/>
                <w:bCs w:val="1"/>
                <w:color w:val="auto"/>
              </w:rPr>
              <w:t>be Received or</w:t>
            </w:r>
          </w:p>
        </w:tc>
        <w:tc>
          <w:tcPr>
            <w:tcW w:w="2200" w:type="dxa"/>
            <w:vAlign w:val="bottom"/>
            <w:gridSpan w:val="5"/>
          </w:tcPr>
          <w:p>
            <w:pPr>
              <w:jc w:val="center"/>
              <w:spacing w:after="0"/>
              <w:rPr>
                <w:sz w:val="20"/>
                <w:szCs w:val="20"/>
                <w:color w:val="auto"/>
              </w:rPr>
            </w:pPr>
            <w:r>
              <w:rPr>
                <w:rFonts w:ascii="Arial" w:cs="Arial" w:eastAsia="Arial" w:hAnsi="Arial"/>
                <w:sz w:val="16"/>
                <w:szCs w:val="16"/>
                <w:b w:val="1"/>
                <w:bCs w:val="1"/>
                <w:color w:val="auto"/>
              </w:rPr>
              <w:t>Securities to be Received</w:t>
            </w:r>
          </w:p>
        </w:tc>
        <w:tc>
          <w:tcPr>
            <w:tcW w:w="1820" w:type="dxa"/>
            <w:vAlign w:val="bottom"/>
            <w:gridSpan w:val="6"/>
          </w:tcPr>
          <w:p>
            <w:pPr>
              <w:jc w:val="right"/>
              <w:spacing w:after="0"/>
              <w:rPr>
                <w:sz w:val="20"/>
                <w:szCs w:val="20"/>
                <w:color w:val="auto"/>
              </w:rPr>
            </w:pPr>
            <w:r>
              <w:rPr>
                <w:rFonts w:ascii="Arial" w:cs="Arial" w:eastAsia="Arial" w:hAnsi="Arial"/>
                <w:sz w:val="16"/>
                <w:szCs w:val="16"/>
                <w:b w:val="1"/>
                <w:bCs w:val="1"/>
                <w:color w:val="auto"/>
              </w:rPr>
              <w:t>to be Received or</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6"/>
          </w:tcPr>
          <w:p>
            <w:pPr>
              <w:jc w:val="center"/>
              <w:ind w:right="460"/>
              <w:spacing w:after="0"/>
              <w:rPr>
                <w:sz w:val="20"/>
                <w:szCs w:val="20"/>
                <w:color w:val="auto"/>
              </w:rPr>
            </w:pPr>
            <w:r>
              <w:rPr>
                <w:rFonts w:ascii="Arial" w:cs="Arial" w:eastAsia="Arial" w:hAnsi="Arial"/>
                <w:sz w:val="16"/>
                <w:szCs w:val="16"/>
                <w:b w:val="1"/>
                <w:bCs w:val="1"/>
                <w:color w:val="auto"/>
              </w:rPr>
              <w:t>Received by the</w:t>
            </w:r>
          </w:p>
        </w:tc>
        <w:tc>
          <w:tcPr>
            <w:tcW w:w="1060" w:type="dxa"/>
            <w:vAlign w:val="bottom"/>
            <w:gridSpan w:val="5"/>
          </w:tcPr>
          <w:p>
            <w:pPr>
              <w:spacing w:after="0"/>
              <w:rPr>
                <w:sz w:val="20"/>
                <w:szCs w:val="20"/>
                <w:color w:val="auto"/>
              </w:rPr>
            </w:pPr>
            <w:r>
              <w:rPr>
                <w:rFonts w:ascii="Arial" w:cs="Arial" w:eastAsia="Arial" w:hAnsi="Arial"/>
                <w:sz w:val="16"/>
                <w:szCs w:val="16"/>
                <w:b w:val="1"/>
                <w:bCs w:val="1"/>
                <w:color w:val="auto"/>
              </w:rPr>
              <w:t>(Paid) by the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7"/>
          </w:tcPr>
          <w:p>
            <w:pPr>
              <w:jc w:val="center"/>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6"/>
          </w:tcPr>
          <w:p>
            <w:pPr>
              <w:jc w:val="center"/>
              <w:ind w:right="280"/>
              <w:spacing w:after="0"/>
              <w:rPr>
                <w:sz w:val="20"/>
                <w:szCs w:val="20"/>
                <w:color w:val="auto"/>
              </w:rPr>
            </w:pPr>
            <w:r>
              <w:rPr>
                <w:rFonts w:ascii="Arial" w:cs="Arial" w:eastAsia="Arial" w:hAnsi="Arial"/>
                <w:sz w:val="16"/>
                <w:szCs w:val="16"/>
                <w:b w:val="1"/>
                <w:bCs w:val="1"/>
                <w:color w:val="auto"/>
              </w:rPr>
              <w:t>Cancelled</w:t>
            </w:r>
          </w:p>
        </w:tc>
        <w:tc>
          <w:tcPr>
            <w:tcW w:w="2200" w:type="dxa"/>
            <w:vAlign w:val="bottom"/>
            <w:gridSpan w:val="5"/>
          </w:tcPr>
          <w:p>
            <w:pPr>
              <w:jc w:val="center"/>
              <w:spacing w:after="0"/>
              <w:rPr>
                <w:sz w:val="20"/>
                <w:szCs w:val="20"/>
                <w:color w:val="auto"/>
              </w:rPr>
            </w:pPr>
            <w:r>
              <w:rPr>
                <w:rFonts w:ascii="Arial" w:cs="Arial" w:eastAsia="Arial" w:hAnsi="Arial"/>
                <w:sz w:val="16"/>
                <w:szCs w:val="16"/>
                <w:b w:val="1"/>
                <w:bCs w:val="1"/>
                <w:color w:val="auto"/>
              </w:rPr>
              <w:t>or Cancelled</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ind w:left="60"/>
              <w:spacing w:after="0"/>
              <w:rPr>
                <w:sz w:val="20"/>
                <w:szCs w:val="20"/>
                <w:color w:val="auto"/>
              </w:rPr>
            </w:pPr>
            <w:r>
              <w:rPr>
                <w:rFonts w:ascii="Arial" w:cs="Arial" w:eastAsia="Arial" w:hAnsi="Arial"/>
                <w:sz w:val="16"/>
                <w:szCs w:val="16"/>
                <w:b w:val="1"/>
                <w:bCs w:val="1"/>
                <w:color w:val="auto"/>
              </w:rPr>
              <w:t>Cancelled</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registrant</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5"/>
          </w:tcPr>
          <w:p>
            <w:pPr>
              <w:ind w:left="120"/>
              <w:spacing w:after="0"/>
              <w:rPr>
                <w:sz w:val="20"/>
                <w:szCs w:val="20"/>
                <w:color w:val="auto"/>
              </w:rPr>
            </w:pPr>
            <w:r>
              <w:rPr>
                <w:rFonts w:ascii="Arial" w:cs="Arial" w:eastAsia="Arial" w:hAnsi="Arial"/>
                <w:sz w:val="16"/>
                <w:szCs w:val="16"/>
                <w:b w:val="1"/>
                <w:bCs w:val="1"/>
                <w:color w:val="auto"/>
              </w:rPr>
              <w:t>registrant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7"/>
          </w:tcPr>
          <w:p>
            <w:pPr>
              <w:jc w:val="center"/>
              <w:spacing w:after="0"/>
              <w:rPr>
                <w:sz w:val="20"/>
                <w:szCs w:val="20"/>
                <w:color w:val="auto"/>
              </w:rPr>
            </w:pPr>
            <w:r>
              <w:rPr>
                <w:rFonts w:ascii="Arial" w:cs="Arial" w:eastAsia="Arial" w:hAnsi="Arial"/>
                <w:sz w:val="16"/>
                <w:szCs w:val="16"/>
                <w:b w:val="1"/>
                <w:bCs w:val="1"/>
                <w:color w:val="auto"/>
              </w:rPr>
              <w:t>Offering Price</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1760" w:type="dxa"/>
            <w:vAlign w:val="bottom"/>
            <w:gridSpan w:val="5"/>
          </w:tcPr>
          <w:p>
            <w:pPr>
              <w:jc w:val="center"/>
              <w:ind w:left="378"/>
              <w:spacing w:after="0"/>
              <w:rPr>
                <w:sz w:val="20"/>
                <w:szCs w:val="20"/>
                <w:color w:val="auto"/>
              </w:rPr>
            </w:pPr>
            <w:r>
              <w:rPr>
                <w:rFonts w:ascii="Arial" w:cs="Arial" w:eastAsia="Arial" w:hAnsi="Arial"/>
                <w:sz w:val="16"/>
                <w:szCs w:val="16"/>
                <w:color w:val="auto"/>
              </w:rPr>
              <w:t>85,000,000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center"/>
              <w:ind w:left="778"/>
              <w:spacing w:after="0"/>
              <w:rPr>
                <w:sz w:val="20"/>
                <w:szCs w:val="20"/>
                <w:color w:val="auto"/>
              </w:rPr>
            </w:pPr>
            <w:r>
              <w:rPr>
                <w:rFonts w:ascii="Arial" w:cs="Arial" w:eastAsia="Arial" w:hAnsi="Arial"/>
                <w:sz w:val="16"/>
                <w:szCs w:val="16"/>
                <w:color w:val="auto"/>
              </w:rPr>
              <w:t>$ 1.00</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6"/>
          </w:tcPr>
          <w:p>
            <w:pPr>
              <w:jc w:val="right"/>
              <w:ind w:right="78"/>
              <w:spacing w:after="0"/>
              <w:rPr>
                <w:sz w:val="20"/>
                <w:szCs w:val="20"/>
                <w:color w:val="auto"/>
              </w:rPr>
            </w:pPr>
            <w:r>
              <w:rPr>
                <w:rFonts w:ascii="Arial" w:cs="Arial" w:eastAsia="Arial" w:hAnsi="Arial"/>
                <w:sz w:val="16"/>
                <w:szCs w:val="16"/>
                <w:color w:val="auto"/>
              </w:rPr>
              <w:t>$ 85,000,000.00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5"/>
          </w:tcPr>
          <w:p>
            <w:pPr>
              <w:jc w:val="center"/>
              <w:spacing w:after="0"/>
              <w:rPr>
                <w:sz w:val="20"/>
                <w:szCs w:val="20"/>
                <w:color w:val="auto"/>
              </w:rPr>
            </w:pPr>
            <w:r>
              <w:rPr>
                <w:rFonts w:ascii="Arial" w:cs="Arial" w:eastAsia="Arial" w:hAnsi="Arial"/>
                <w:sz w:val="16"/>
                <w:szCs w:val="16"/>
                <w:color w:val="auto"/>
              </w:rPr>
              <w:t>$ 85,000,000.00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gridSpan w:val="2"/>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gridSpan w:val="2"/>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0"/>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ind w:left="1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60" w:type="dxa"/>
            <w:vAlign w:val="bottom"/>
            <w:tcBorders>
              <w:right w:val="single" w:sz="8" w:color="9ADAF6"/>
            </w:tcBorders>
          </w:tcPr>
          <w:p>
            <w:pPr>
              <w:spacing w:after="0"/>
              <w:rPr>
                <w:sz w:val="15"/>
                <w:szCs w:val="15"/>
                <w:color w:val="auto"/>
              </w:rPr>
            </w:pPr>
          </w:p>
        </w:tc>
        <w:tc>
          <w:tcPr>
            <w:tcW w:w="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6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760" w:type="dxa"/>
            <w:vAlign w:val="bottom"/>
            <w:gridSpan w:val="3"/>
            <w:shd w:val="clear" w:color="auto" w:fill="9ADAF6"/>
          </w:tcPr>
          <w:p>
            <w:pPr>
              <w:jc w:val="center"/>
              <w:ind w:right="118"/>
              <w:spacing w:after="0" w:line="183" w:lineRule="exact"/>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780" w:type="dxa"/>
            <w:vAlign w:val="bottom"/>
            <w:gridSpan w:val="2"/>
            <w:shd w:val="clear" w:color="auto" w:fill="9ADAF6"/>
          </w:tcPr>
          <w:p>
            <w:pPr>
              <w:jc w:val="center"/>
              <w:ind w:left="40"/>
              <w:spacing w:after="0"/>
              <w:rPr>
                <w:sz w:val="20"/>
                <w:szCs w:val="20"/>
                <w:color w:val="auto"/>
              </w:rPr>
            </w:pPr>
            <w:r>
              <w:rPr>
                <w:rFonts w:ascii="Arial" w:cs="Arial" w:eastAsia="Arial" w:hAnsi="Arial"/>
                <w:sz w:val="16"/>
                <w:szCs w:val="16"/>
                <w:b w:val="1"/>
                <w:bCs w:val="1"/>
                <w:color w:val="auto"/>
              </w:rPr>
              <w:t>Security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gridSpan w:val="4"/>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vMerge w:val="restart"/>
            <w:shd w:val="clear" w:color="auto" w:fill="9ADAF6"/>
          </w:tcPr>
          <w:p>
            <w:pPr>
              <w:ind w:left="40"/>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780" w:type="dxa"/>
            <w:vAlign w:val="bottom"/>
            <w:gridSpan w:val="2"/>
            <w:shd w:val="clear" w:color="auto" w:fill="9ADAF6"/>
          </w:tcPr>
          <w:p>
            <w:pPr>
              <w:jc w:val="center"/>
              <w:ind w:left="40"/>
              <w:spacing w:after="0"/>
              <w:rPr>
                <w:sz w:val="20"/>
                <w:szCs w:val="20"/>
                <w:color w:val="auto"/>
              </w:rPr>
            </w:pPr>
            <w:r>
              <w:rPr>
                <w:rFonts w:ascii="Arial" w:cs="Arial" w:eastAsia="Arial" w:hAnsi="Arial"/>
                <w:sz w:val="16"/>
                <w:szCs w:val="16"/>
                <w:b w:val="1"/>
                <w:bCs w:val="1"/>
                <w:color w:val="auto"/>
              </w:rPr>
              <w:t>Title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60" w:type="dxa"/>
            <w:vAlign w:val="bottom"/>
            <w:gridSpan w:val="4"/>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60" w:type="dxa"/>
            <w:vAlign w:val="bottom"/>
            <w:tcBorders>
              <w:right w:val="single" w:sz="8" w:color="9ADAF6"/>
            </w:tcBorders>
          </w:tcPr>
          <w:p>
            <w:pPr>
              <w:spacing w:after="0"/>
              <w:rPr>
                <w:sz w:val="8"/>
                <w:szCs w:val="8"/>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118"/>
              <w:spacing w:after="0"/>
              <w:rPr>
                <w:sz w:val="20"/>
                <w:szCs w:val="20"/>
                <w:color w:val="auto"/>
              </w:rPr>
            </w:pPr>
            <w:r>
              <w:rPr>
                <w:rFonts w:ascii="Arial" w:cs="Arial" w:eastAsia="Arial" w:hAnsi="Arial"/>
                <w:sz w:val="16"/>
                <w:szCs w:val="16"/>
                <w:b w:val="1"/>
                <w:bCs w:val="1"/>
                <w:color w:val="auto"/>
              </w:rPr>
              <w:t>File</w:t>
            </w:r>
          </w:p>
        </w:tc>
        <w:tc>
          <w:tcPr>
            <w:tcW w:w="6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right"/>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60" w:type="dxa"/>
            <w:vAlign w:val="bottom"/>
            <w:gridSpan w:val="4"/>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vMerge w:val="continue"/>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5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shd w:val="clear" w:color="auto" w:fill="9ADAF6"/>
          </w:tcPr>
          <w:p>
            <w:pPr>
              <w:spacing w:after="0"/>
              <w:rPr>
                <w:sz w:val="14"/>
                <w:szCs w:val="14"/>
                <w:color w:val="auto"/>
              </w:rPr>
            </w:pPr>
          </w:p>
        </w:tc>
        <w:tc>
          <w:tcPr>
            <w:tcW w:w="540" w:type="dxa"/>
            <w:vAlign w:val="bottom"/>
            <w:vMerge w:val="continue"/>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ind w:left="40"/>
              <w:spacing w:after="0" w:line="16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jc w:val="center"/>
              <w:ind w:right="178"/>
              <w:spacing w:after="0"/>
              <w:rPr>
                <w:sz w:val="20"/>
                <w:szCs w:val="20"/>
                <w:color w:val="auto"/>
              </w:rPr>
            </w:pPr>
            <w:r>
              <w:rPr>
                <w:rFonts w:ascii="Arial" w:cs="Arial" w:eastAsia="Arial" w:hAnsi="Arial"/>
                <w:sz w:val="16"/>
                <w:szCs w:val="16"/>
                <w:b w:val="1"/>
                <w:bCs w:val="1"/>
                <w:color w:val="auto"/>
              </w:rPr>
              <w:t>Name</w:t>
            </w:r>
          </w:p>
        </w:tc>
        <w:tc>
          <w:tcPr>
            <w:tcW w:w="60" w:type="dxa"/>
            <w:vAlign w:val="bottom"/>
            <w:tcBorders>
              <w:right w:val="single" w:sz="8" w:color="9ADAF6"/>
            </w:tcBorders>
          </w:tcPr>
          <w:p>
            <w:pPr>
              <w:spacing w:after="0"/>
              <w:rPr>
                <w:sz w:val="16"/>
                <w:szCs w:val="16"/>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6"/>
                <w:szCs w:val="16"/>
                <w:color w:val="auto"/>
              </w:rPr>
            </w:pPr>
          </w:p>
        </w:tc>
        <w:tc>
          <w:tcPr>
            <w:tcW w:w="740" w:type="dxa"/>
            <w:vAlign w:val="bottom"/>
            <w:gridSpan w:val="2"/>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ind w:left="80"/>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jc w:val="right"/>
              <w:ind w:right="38"/>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6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780" w:type="dxa"/>
            <w:vAlign w:val="bottom"/>
            <w:gridSpan w:val="2"/>
            <w:shd w:val="clear" w:color="auto" w:fill="9ADAF6"/>
          </w:tcPr>
          <w:p>
            <w:pPr>
              <w:jc w:val="center"/>
              <w:ind w:left="40"/>
              <w:spacing w:after="0"/>
              <w:rPr>
                <w:sz w:val="20"/>
                <w:szCs w:val="20"/>
                <w:color w:val="auto"/>
              </w:rPr>
            </w:pPr>
            <w:r>
              <w:rPr>
                <w:rFonts w:ascii="Arial" w:cs="Arial" w:eastAsia="Arial" w:hAnsi="Arial"/>
                <w:sz w:val="16"/>
                <w:szCs w:val="16"/>
                <w:b w:val="1"/>
                <w:bCs w:val="1"/>
                <w:color w:val="auto"/>
              </w:rPr>
              <w:t>with 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60" w:type="dxa"/>
            <w:vAlign w:val="bottom"/>
            <w:gridSpan w:val="4"/>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40" w:type="dxa"/>
            <w:vAlign w:val="bottom"/>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58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20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780" w:type="dxa"/>
            <w:vAlign w:val="bottom"/>
            <w:gridSpan w:val="2"/>
            <w:shd w:val="clear" w:color="auto" w:fill="9ADAF6"/>
          </w:tcPr>
          <w:p>
            <w:pPr>
              <w:jc w:val="center"/>
              <w:ind w:left="60"/>
              <w:spacing w:after="0" w:line="113" w:lineRule="exact"/>
              <w:rPr>
                <w:sz w:val="20"/>
                <w:szCs w:val="20"/>
                <w:color w:val="auto"/>
              </w:rPr>
            </w:pPr>
            <w:r>
              <w:rPr>
                <w:rFonts w:ascii="Arial" w:cs="Arial" w:eastAsia="Arial" w:hAnsi="Arial"/>
                <w:sz w:val="13"/>
                <w:szCs w:val="13"/>
                <w:b w:val="1"/>
                <w:bCs w:val="1"/>
                <w:color w:val="auto"/>
              </w:rPr>
              <w:t>Offset</w:t>
            </w: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60" w:type="dxa"/>
            <w:vAlign w:val="bottom"/>
            <w:gridSpan w:val="4"/>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780" w:type="dxa"/>
            <w:vAlign w:val="bottom"/>
            <w:gridSpan w:val="2"/>
            <w:shd w:val="clear" w:color="auto" w:fill="9ADAF6"/>
          </w:tcPr>
          <w:p>
            <w:pPr>
              <w:jc w:val="center"/>
              <w:ind w:left="60"/>
              <w:spacing w:after="0"/>
              <w:rPr>
                <w:sz w:val="20"/>
                <w:szCs w:val="20"/>
                <w:color w:val="auto"/>
              </w:rPr>
            </w:pPr>
            <w:r>
              <w:rPr>
                <w:rFonts w:ascii="Arial" w:cs="Arial" w:eastAsia="Arial" w:hAnsi="Arial"/>
                <w:sz w:val="16"/>
                <w:szCs w:val="16"/>
                <w:b w:val="1"/>
                <w:bCs w:val="1"/>
                <w:color w:val="auto"/>
              </w:rPr>
              <w:t>Claimed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760" w:type="dxa"/>
            <w:vAlign w:val="bottom"/>
            <w:gridSpan w:val="3"/>
            <w:shd w:val="clear" w:color="auto" w:fill="9ADAF6"/>
          </w:tcPr>
          <w:p>
            <w:pPr>
              <w:jc w:val="center"/>
              <w:ind w:right="118"/>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40" w:type="dxa"/>
            <w:vAlign w:val="bottom"/>
            <w:shd w:val="clear" w:color="auto" w:fill="9ADAF6"/>
          </w:tcPr>
          <w:p>
            <w:pPr>
              <w:spacing w:after="0"/>
              <w:rPr>
                <w:sz w:val="18"/>
                <w:szCs w:val="18"/>
                <w:color w:val="auto"/>
              </w:rPr>
            </w:pPr>
          </w:p>
        </w:tc>
        <w:tc>
          <w:tcPr>
            <w:tcW w:w="60" w:type="dxa"/>
            <w:vAlign w:val="bottom"/>
            <w:tcBorders>
              <w:right w:val="single" w:sz="8" w:color="9ADAF6"/>
            </w:tcBorders>
          </w:tcPr>
          <w:p>
            <w:pPr>
              <w:spacing w:after="0"/>
              <w:rPr>
                <w:sz w:val="18"/>
                <w:szCs w:val="18"/>
                <w:color w:val="auto"/>
              </w:rPr>
            </w:pPr>
          </w:p>
        </w:tc>
        <w:tc>
          <w:tcPr>
            <w:tcW w:w="5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6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4"/>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10"/>
          </w:tcPr>
          <w:p>
            <w:pPr>
              <w:ind w:left="32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5"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5"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0"/>
          </w:tcPr>
          <w:p>
            <w:pPr>
              <w:spacing w:after="0"/>
              <w:rPr>
                <w:sz w:val="20"/>
                <w:szCs w:val="20"/>
                <w:color w:val="auto"/>
              </w:rPr>
            </w:pPr>
            <w:r>
              <w:rPr>
                <w:rFonts w:ascii="Arial" w:cs="Arial" w:eastAsia="Arial" w:hAnsi="Arial"/>
                <w:sz w:val="16"/>
                <w:szCs w:val="16"/>
                <w:b w:val="1"/>
                <w:bCs w:val="1"/>
                <w:color w:val="auto"/>
              </w:rPr>
              <w:t>Table 3: Combined Prospectuses</w:t>
            </w: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ind w:left="1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5"/>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16"/>
                <w:szCs w:val="16"/>
                <w:color w:val="auto"/>
              </w:rPr>
            </w:pPr>
          </w:p>
        </w:tc>
        <w:tc>
          <w:tcPr>
            <w:tcW w:w="2200" w:type="dxa"/>
            <w:vAlign w:val="bottom"/>
            <w:gridSpan w:val="5"/>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54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shd w:val="clear" w:color="auto" w:fill="9ADAF6"/>
          </w:tcPr>
          <w:p>
            <w:pPr>
              <w:jc w:val="right"/>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60" w:type="dxa"/>
            <w:vAlign w:val="bottom"/>
            <w:gridSpan w:val="2"/>
            <w:shd w:val="clear" w:color="auto" w:fill="9ADAF6"/>
          </w:tcPr>
          <w:p>
            <w:pPr>
              <w:ind w:left="20"/>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6"/>
                <w:szCs w:val="16"/>
                <w:color w:val="auto"/>
              </w:rPr>
            </w:pPr>
          </w:p>
        </w:tc>
        <w:tc>
          <w:tcPr>
            <w:tcW w:w="1100" w:type="dxa"/>
            <w:vAlign w:val="bottom"/>
            <w:gridSpan w:val="4"/>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80" w:type="dxa"/>
            <w:vAlign w:val="bottom"/>
            <w:gridSpan w:val="2"/>
            <w:shd w:val="clear" w:color="auto" w:fill="9ADAF6"/>
          </w:tcPr>
          <w:p>
            <w:pPr>
              <w:jc w:val="center"/>
              <w:ind w:right="240"/>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shd w:val="clear" w:color="auto" w:fill="9ADAF6"/>
          </w:tcPr>
          <w:p>
            <w:pPr>
              <w:jc w:val="right"/>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80" w:type="dxa"/>
            <w:vAlign w:val="bottom"/>
            <w:gridSpan w:val="3"/>
            <w:shd w:val="clear" w:color="auto" w:fill="9ADAF6"/>
          </w:tcPr>
          <w:p>
            <w:pPr>
              <w:jc w:val="center"/>
              <w:ind w:right="260"/>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ind w:left="2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4"/>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shd w:val="clear" w:color="auto" w:fill="9ADAF6"/>
          </w:tcPr>
          <w:p>
            <w:pPr>
              <w:spacing w:after="0"/>
              <w:rPr>
                <w:sz w:val="18"/>
                <w:szCs w:val="18"/>
                <w:color w:val="auto"/>
              </w:rPr>
            </w:pPr>
          </w:p>
        </w:tc>
        <w:tc>
          <w:tcPr>
            <w:tcW w:w="60" w:type="dxa"/>
            <w:vAlign w:val="bottom"/>
            <w:tcBorders>
              <w:right w:val="single" w:sz="8" w:color="9ADAF6"/>
            </w:tcBorders>
            <w:shd w:val="clear" w:color="auto" w:fill="9ADAF6"/>
          </w:tcPr>
          <w:p>
            <w:pPr>
              <w:spacing w:after="0"/>
              <w:rPr>
                <w:sz w:val="18"/>
                <w:szCs w:val="18"/>
                <w:color w:val="auto"/>
              </w:rPr>
            </w:pPr>
          </w:p>
        </w:tc>
        <w:tc>
          <w:tcPr>
            <w:tcW w:w="5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20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6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200" w:type="dxa"/>
            <w:vAlign w:val="bottom"/>
            <w:shd w:val="clear" w:color="auto" w:fill="9ADAF6"/>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680" w:type="dxa"/>
            <w:vAlign w:val="bottom"/>
            <w:gridSpan w:val="2"/>
            <w:shd w:val="clear" w:color="auto" w:fill="9ADAF6"/>
          </w:tcPr>
          <w:p>
            <w:pPr>
              <w:jc w:val="center"/>
              <w:ind w:right="240"/>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-3402330</wp:posOffset>
            </wp:positionV>
            <wp:extent cx="3175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-3402330</wp:posOffset>
            </wp:positionV>
            <wp:extent cx="3175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900" w:orient="portrait"/>
          <w:cols w:equalWidth="0" w:num="1">
            <w:col w:w="11360"/>
          </w:cols>
          <w:pgMar w:left="300" w:top="141" w:right="239" w:bottom="0" w:gutter="0" w:footer="0" w:header="0"/>
        </w:sectPr>
      </w:pPr>
    </w:p>
    <w:bookmarkStart w:id="74" w:name="page75"/>
    <w:bookmarkEnd w:id="74"/>
    <w:tbl>
      <w:tblPr>
        <w:tblLayout w:type="fixed"/>
        <w:tblInd w:w="10" w:type="dxa"/>
        <w:tblCellMar>
          <w:top w:w="0" w:type="dxa"/>
          <w:left w:w="0" w:type="dxa"/>
          <w:bottom w:w="0" w:type="dxa"/>
          <w:right w:w="0" w:type="dxa"/>
        </w:tblCellMar>
      </w:tblPr>
      <w:tr>
        <w:trPr>
          <w:trHeight w:val="18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8"/>
                <w:szCs w:val="18"/>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lowerRoman"/>
      <w:start w:val="2"/>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1)"/>
      <w:numFmt w:val="lowerRoman"/>
      <w:start w:val="2"/>
    </w:lvl>
    <w:lvl w:ilvl="1">
      <w:lvlJc w:val="left"/>
      <w:lvlText w:val="(%2)"/>
      <w:numFmt w:val="lowerRoman"/>
      <w:start w:val="1"/>
    </w:lvl>
  </w:abstractNum>
  <w:abstractNum w:abstractNumId="35">
    <w:nsid w:val="38437FDB"/>
    <w:multiLevelType w:val="hybridMultilevel"/>
    <w:lvl w:ilvl="0">
      <w:lvlJc w:val="left"/>
      <w:lvlText w:val="(%1)"/>
      <w:numFmt w:val="lowerRoman"/>
      <w:start w:val="1"/>
    </w:lvl>
  </w:abstractNum>
  <w:abstractNum w:abstractNumId="36">
    <w:nsid w:val="7644A45C"/>
    <w:multiLevelType w:val="hybridMultilevel"/>
    <w:lvl w:ilvl="0">
      <w:lvlJc w:val="left"/>
      <w:lvlText w:val="(%1)"/>
      <w:numFmt w:val="lowerRoman"/>
      <w:start w:val="1"/>
    </w:lvl>
  </w:abstractNum>
  <w:abstractNum w:abstractNumId="37">
    <w:nsid w:val="32FFF902"/>
    <w:multiLevelType w:val="hybridMultilevel"/>
    <w:lvl w:ilvl="0">
      <w:lvlJc w:val="left"/>
      <w:lvlText w:val="(%1)"/>
      <w:numFmt w:val="lowerRoman"/>
      <w:start w:val="3"/>
    </w:lvl>
  </w:abstractNum>
  <w:abstractNum w:abstractNumId="38">
    <w:nsid w:val="684A481A"/>
    <w:multiLevelType w:val="hybridMultilevel"/>
    <w:lvl w:ilvl="0">
      <w:lvlJc w:val="left"/>
      <w:lvlText w:val="%1"/>
      <w:numFmt w:val="lowerLetter"/>
      <w:start w:val="1"/>
    </w:lvl>
    <w:lvl w:ilvl="1">
      <w:lvlJc w:val="left"/>
      <w:lvlText w:val="(%2)"/>
      <w:numFmt w:val="lowerLetter"/>
      <w:start w:val="9"/>
    </w:lvl>
  </w:abstractNum>
  <w:abstractNum w:abstractNumId="39">
    <w:nsid w:val="579478FE"/>
    <w:multiLevelType w:val="hybridMultilevel"/>
    <w:lvl w:ilvl="0">
      <w:lvlJc w:val="left"/>
      <w:lvlText w:val="(%1)"/>
      <w:numFmt w:val="lowerLetter"/>
      <w:start w:val="2"/>
    </w:lvl>
    <w:lvl w:ilvl="1">
      <w:lvlJc w:val="left"/>
      <w:lvlText w:val="(%2)"/>
      <w:numFmt w:val="lowerLetter"/>
      <w:start w:val="35"/>
    </w:lvl>
  </w:abstractNum>
  <w:abstractNum w:abstractNumId="40">
    <w:nsid w:val="749ABB43"/>
    <w:multiLevelType w:val="hybridMultilevel"/>
    <w:lvl w:ilvl="0">
      <w:lvlJc w:val="left"/>
      <w:lvlText w:val="(%1)"/>
      <w:numFmt w:val="lowerRoman"/>
      <w:start w:val="3"/>
    </w:lvl>
  </w:abstractNum>
  <w:abstractNum w:abstractNumId="41">
    <w:nsid w:val="3DC240FB"/>
    <w:multiLevelType w:val="hybridMultilevel"/>
    <w:lvl w:ilvl="0">
      <w:lvlJc w:val="left"/>
      <w:lvlText w:val="(%1)"/>
      <w:numFmt w:val="lowerRoman"/>
      <w:start w:val="1"/>
    </w:lvl>
  </w:abstractNum>
  <w:abstractNum w:abstractNumId="42">
    <w:nsid w:val="1BA026FA"/>
    <w:multiLevelType w:val="hybridMultilevel"/>
    <w:lvl w:ilvl="0">
      <w:lvlJc w:val="left"/>
      <w:lvlText w:val="(%1)"/>
      <w:numFmt w:val="lowerRoman"/>
      <w:start w:val="2"/>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1)"/>
      <w:numFmt w:val="decimal"/>
      <w:start w:val="7"/>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decimal"/>
      <w:start w:val="1"/>
    </w:lvl>
    <w:lvl w:ilvl="1">
      <w:lvlJc w:val="left"/>
      <w:lvlText w:val="(%2)"/>
      <w:numFmt w:val="lowerRoman"/>
      <w:start w:val="1"/>
    </w:lvl>
  </w:abstractNum>
  <w:abstractNum w:abstractNumId="47">
    <w:nsid w:val="520EEDD1"/>
    <w:multiLevelType w:val="hybridMultilevel"/>
    <w:lvl w:ilvl="0">
      <w:lvlJc w:val="left"/>
      <w:lvlText w:val="(%1)"/>
      <w:numFmt w:val="lowerRoman"/>
      <w:start w:val="1"/>
    </w:lvl>
  </w:abstractNum>
  <w:abstractNum w:abstractNumId="48">
    <w:nsid w:val="374A3FE6"/>
    <w:multiLevelType w:val="hybridMultilevel"/>
    <w:lvl w:ilvl="0">
      <w:lvlJc w:val="left"/>
      <w:lvlText w:val="(%1)"/>
      <w:numFmt w:val="lowerRoman"/>
      <w:start w:val="4"/>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2"/>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decimal"/>
      <w:start w:val="5"/>
    </w:lvl>
  </w:abstractNum>
  <w:abstractNum w:abstractNumId="54">
    <w:nsid w:val="1CF10FD8"/>
    <w:multiLevelType w:val="hybridMultilevel"/>
    <w:lvl w:ilvl="0">
      <w:lvlJc w:val="left"/>
      <w:lvlText w:val="(%1)"/>
      <w:numFmt w:val="decimal"/>
      <w:start w:val="214"/>
    </w:lvl>
  </w:abstractNum>
  <w:abstractNum w:abstractNumId="55">
    <w:nsid w:val="180115BE"/>
    <w:multiLevelType w:val="hybridMultilevel"/>
    <w:lvl w:ilvl="0">
      <w:lvlJc w:val="left"/>
      <w:lvlText w:val="(%1)"/>
      <w:numFmt w:val="lowerRoman"/>
      <w:start w:val="1"/>
    </w:lvl>
  </w:abstractNum>
  <w:abstractNum w:abstractNumId="56">
    <w:nsid w:val="235BA861"/>
    <w:multiLevelType w:val="hybridMultilevel"/>
    <w:lvl w:ilvl="0">
      <w:lvlJc w:val="left"/>
      <w:lvlText w:val="(%1)"/>
      <w:numFmt w:val="decimal"/>
      <w:start w:val="3"/>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jpeg"/><Relationship Id="rId128" Type="http://schemas.openxmlformats.org/officeDocument/2006/relationships/image" Target="media/image105.png"/><Relationship Id="rId129" Type="http://schemas.openxmlformats.org/officeDocument/2006/relationships/image" Target="media/image106.jpe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6" Type="http://schemas.openxmlformats.org/officeDocument/2006/relationships/hyperlink" Target="https://www.sec.gov/ix?doc=/Archives/edgar/data/775215/000077521526000025/hbt-20251231.htm" TargetMode="External"/><Relationship Id="rId17" Type="http://schemas.openxmlformats.org/officeDocument/2006/relationships/hyperlink" Target="https://www.sec.gov/ix?doc=/Archives/edgar/data/775215/000077521526000055/hbt-20260331.htm" TargetMode="External"/><Relationship Id="rId34" Type="http://schemas.openxmlformats.org/officeDocument/2006/relationships/hyperlink" Target="https://www.sec.gov/ix?doc=/Archives/edgar/data/775215/000077521526000037/hbt-20260407.htm" TargetMode="External"/><Relationship Id="rId35" Type="http://schemas.openxmlformats.org/officeDocument/2006/relationships/hyperlink" Target="https://www.sec.gov/ix?doc=/Archives/edgar/data/775215/000077521526000013/hbt-20260127.htm" TargetMode="External"/><Relationship Id="rId36" Type="http://schemas.openxmlformats.org/officeDocument/2006/relationships/hyperlink" Target="https://www.sec.gov/ix?doc=/Archives/edgar/data/775215/000077521526000018/hbt-20260130.htm" TargetMode="External"/><Relationship Id="rId37" Type="http://schemas.openxmlformats.org/officeDocument/2006/relationships/hyperlink" Target="https://www.sec.gov/ix?doc=/Archives/edgar/data/775215/000077521526000021/hbt-20260301.htm" TargetMode="External"/><Relationship Id="rId38" Type="http://schemas.openxmlformats.org/officeDocument/2006/relationships/hyperlink" Target="https://www.sec.gov/ix?doc=/Archives/edgar/data/775215/000077521526000028/hbt-20260311.htm" TargetMode="External"/><Relationship Id="rId39" Type="http://schemas.openxmlformats.org/officeDocument/2006/relationships/hyperlink" Target="https://www.sec.gov/ix?doc=/Archives/edgar/data/775215/000077521526000033/hbt-20260324.htm" TargetMode="External"/><Relationship Id="rId40" Type="http://schemas.openxmlformats.org/officeDocument/2006/relationships/hyperlink" Target="https://www.sec.gov/ix?doc=/Archives/edgar/data/775215/000077521526000050/hbt-20260301.htm" TargetMode="External"/><Relationship Id="rId41" Type="http://schemas.openxmlformats.org/officeDocument/2006/relationships/hyperlink" Target="https://www.sec.gov/ix?doc=/Archives/edgar/data/775215/000077521526000052/hbt-20260428.htm" TargetMode="External"/><Relationship Id="rId42" Type="http://schemas.openxmlformats.org/officeDocument/2006/relationships/hyperlink" Target="https://www.sec.gov/ix?doc=/Archives/edgar/data/775215/000077521526000059/hbt-20260519.htm" TargetMode="External"/><Relationship Id="rId103" Type="http://schemas.openxmlformats.org/officeDocument/2006/relationships/hyperlink" Target="https://www.sec.gov/Archives/edgar/data/775215/000110465919057911/a19-21406_1ex4d1.htm#Exhibit4_1_084105" TargetMode="External"/><Relationship Id="rId104" Type="http://schemas.openxmlformats.org/officeDocument/2006/relationships/hyperlink" Target="https://www.sec.gov/Archives/edgar/data/775215/000110465919057911/a19-21406_1ex4d2.htm#Exhibit4_2_084350" TargetMode="External"/><Relationship Id="rId105" Type="http://schemas.openxmlformats.org/officeDocument/2006/relationships/hyperlink" Target="https://www.sec.gov/Archives/edgar/data/775215/000077521526000028/hbt-20260311ex41.htm" TargetMode="External"/><Relationship Id="rId106" Type="http://schemas.openxmlformats.org/officeDocument/2006/relationships/hyperlink" Target="https://www.sec.gov/Archives/edgar/data/775215/000077521526000028/hbt-20260311ex102.htm" TargetMode="External"/><Relationship Id="rId107" Type="http://schemas.openxmlformats.org/officeDocument/2006/relationships/hyperlink" Target="https://www.sec.gov/Archives/edgar/data/775215/000077521526000025/hbt-20251231x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2026-05-27T15:23:08Z</dcterms:created>
  <dcterms:modified xsi:type="dcterms:W3CDTF">2026-05-27T15:23:08Z</dcterms:modified>
</cp:coreProperties>
</file>