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 PURSUANT TO</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13 OR 15(d) OF THE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Date of report (Date of earliest event reported): October 26, 2026</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HBT FINANCIAL,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79" w:lineRule="exact"/>
        <w:rPr>
          <w:sz w:val="24"/>
          <w:szCs w:val="24"/>
          <w:color w:val="auto"/>
        </w:rPr>
      </w:pPr>
    </w:p>
    <w:tbl>
      <w:tblPr>
        <w:tblLayout w:type="fixed"/>
        <w:tblInd w:w="1760" w:type="dxa"/>
        <w:tblCellMar>
          <w:top w:w="0" w:type="dxa"/>
          <w:left w:w="0" w:type="dxa"/>
          <w:bottom w:w="0" w:type="dxa"/>
          <w:right w:w="0" w:type="dxa"/>
        </w:tblCellMar>
      </w:tblPr>
      <w:tr>
        <w:trPr>
          <w:trHeight w:val="159"/>
        </w:trPr>
        <w:tc>
          <w:tcPr>
            <w:tcW w:w="2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3620" w:type="dxa"/>
            <w:vAlign w:val="bottom"/>
          </w:tcPr>
          <w:p>
            <w:pPr>
              <w:jc w:val="right"/>
              <w:ind w:right="1500"/>
              <w:spacing w:after="0"/>
              <w:rPr>
                <w:sz w:val="20"/>
                <w:szCs w:val="20"/>
                <w:color w:val="auto"/>
              </w:rPr>
            </w:pPr>
            <w:r>
              <w:rPr>
                <w:rFonts w:ascii="Times New Roman" w:cs="Times New Roman" w:eastAsia="Times New Roman" w:hAnsi="Times New Roman"/>
                <w:sz w:val="12"/>
                <w:szCs w:val="12"/>
                <w:b w:val="1"/>
                <w:bCs w:val="1"/>
                <w:color w:val="auto"/>
              </w:rPr>
              <w:t>001-39085</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37-1117216</w:t>
            </w:r>
          </w:p>
        </w:tc>
      </w:tr>
    </w:tbl>
    <w:p>
      <w:pPr>
        <w:spacing w:after="0" w:line="16" w:lineRule="exact"/>
        <w:rPr>
          <w:sz w:val="24"/>
          <w:szCs w:val="24"/>
          <w:color w:val="auto"/>
        </w:rPr>
      </w:pPr>
    </w:p>
    <w:p>
      <w:pPr>
        <w:sectPr>
          <w:pgSz w:w="11900" w:h="16838" w:orient="portrait"/>
          <w:cols w:equalWidth="0" w:num="1">
            <w:col w:w="11260"/>
          </w:cols>
          <w:pgMar w:left="300" w:top="940" w:right="339" w:bottom="1440" w:gutter="0" w:footer="0" w:header="0"/>
        </w:sectPr>
      </w:pPr>
    </w:p>
    <w:p>
      <w:pPr>
        <w:jc w:val="center"/>
        <w:ind w:left="560"/>
        <w:spacing w:after="0"/>
        <w:rPr>
          <w:sz w:val="20"/>
          <w:szCs w:val="20"/>
          <w:color w:val="auto"/>
        </w:rPr>
      </w:pPr>
      <w:r>
        <w:rPr>
          <w:rFonts w:ascii="Times New Roman" w:cs="Times New Roman" w:eastAsia="Times New Roman" w:hAnsi="Times New Roman"/>
          <w:sz w:val="12"/>
          <w:szCs w:val="12"/>
          <w:color w:val="auto"/>
        </w:rPr>
        <w:t>(State or other jurisdiction</w:t>
      </w:r>
    </w:p>
    <w:p>
      <w:pPr>
        <w:jc w:val="center"/>
        <w:ind w:left="56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116"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401 North Hershey Road</w:t>
      </w:r>
    </w:p>
    <w:p>
      <w:pPr>
        <w:spacing w:after="0" w:line="4"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2"/>
          <w:szCs w:val="12"/>
          <w:b w:val="1"/>
          <w:bCs w:val="1"/>
          <w:color w:val="auto"/>
        </w:rPr>
        <w:t>Bloomington, Illinois</w:t>
      </w:r>
    </w:p>
    <w:p>
      <w:pPr>
        <w:spacing w:after="0" w:line="12"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2"/>
          <w:szCs w:val="12"/>
          <w:color w:val="auto"/>
        </w:rPr>
        <w:t>(Address of principal executive</w:t>
      </w:r>
    </w:p>
    <w:p>
      <w:pPr>
        <w:jc w:val="center"/>
        <w:ind w:left="560"/>
        <w:spacing w:after="0"/>
        <w:rPr>
          <w:sz w:val="20"/>
          <w:szCs w:val="20"/>
          <w:color w:val="auto"/>
        </w:rPr>
      </w:pPr>
      <w:r>
        <w:rPr>
          <w:rFonts w:ascii="Times New Roman" w:cs="Times New Roman" w:eastAsia="Times New Roman" w:hAnsi="Times New Roman"/>
          <w:sz w:val="12"/>
          <w:szCs w:val="12"/>
          <w:color w:val="auto"/>
        </w:rPr>
        <w:t>offices)</w:t>
      </w:r>
    </w:p>
    <w:p>
      <w:pPr>
        <w:spacing w:after="0" w:line="20" w:lineRule="exact"/>
        <w:rPr>
          <w:sz w:val="24"/>
          <w:szCs w:val="24"/>
          <w:color w:val="auto"/>
        </w:rPr>
      </w:pPr>
      <w:r>
        <w:rPr>
          <w:sz w:val="24"/>
          <w:szCs w:val="24"/>
          <w:color w:val="auto"/>
        </w:rPr>
        <w:br w:type="column"/>
      </w:r>
    </w:p>
    <w:p>
      <w:pPr>
        <w:ind w:left="76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(309) 662-4444</w:t>
      </w:r>
    </w:p>
    <w:p>
      <w:pPr>
        <w:spacing w:after="0" w:line="2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6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Times New Roman" w:cs="Times New Roman" w:eastAsia="Times New Roman" w:hAnsi="Times New Roman"/>
          <w:sz w:val="12"/>
          <w:szCs w:val="12"/>
          <w:color w:val="auto"/>
        </w:rPr>
        <w:t>(IRS Employer</w:t>
      </w:r>
    </w:p>
    <w:p>
      <w:pPr>
        <w:jc w:val="center"/>
        <w:ind w:right="1480"/>
        <w:spacing w:after="0"/>
        <w:rPr>
          <w:sz w:val="20"/>
          <w:szCs w:val="20"/>
          <w:color w:val="auto"/>
        </w:rPr>
      </w:pPr>
      <w:r>
        <w:rPr>
          <w:rFonts w:ascii="Times New Roman" w:cs="Times New Roman" w:eastAsia="Times New Roman" w:hAnsi="Times New Roman"/>
          <w:sz w:val="11"/>
          <w:szCs w:val="11"/>
          <w:color w:val="auto"/>
        </w:rPr>
        <w:t>Identification Number)</w:t>
      </w:r>
    </w:p>
    <w:p>
      <w:pPr>
        <w:spacing w:after="0" w:line="245"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2"/>
          <w:szCs w:val="12"/>
          <w:b w:val="1"/>
          <w:bCs w:val="1"/>
          <w:color w:val="auto"/>
        </w:rPr>
        <w:t>61704</w:t>
      </w:r>
    </w:p>
    <w:p>
      <w:pPr>
        <w:spacing w:after="0" w:line="46"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2"/>
          <w:szCs w:val="12"/>
          <w:color w:val="auto"/>
        </w:rPr>
        <w:t>(Zip Code)</w:t>
      </w:r>
    </w:p>
    <w:p>
      <w:pPr>
        <w:spacing w:after="0" w:line="1119" w:lineRule="exact"/>
        <w:rPr>
          <w:sz w:val="24"/>
          <w:szCs w:val="24"/>
          <w:color w:val="auto"/>
        </w:rPr>
      </w:pPr>
    </w:p>
    <w:p>
      <w:pPr>
        <w:sectPr>
          <w:pgSz w:w="11900" w:h="16838" w:orient="portrait"/>
          <w:cols w:equalWidth="0" w:num="3">
            <w:col w:w="3440" w:space="720"/>
            <w:col w:w="3800" w:space="720"/>
            <w:col w:w="2580"/>
          </w:cols>
          <w:pgMar w:left="300" w:top="9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278" w:lineRule="exact"/>
        <w:rPr>
          <w:sz w:val="24"/>
          <w:szCs w:val="24"/>
          <w:color w:val="auto"/>
        </w:rPr>
      </w:pPr>
    </w:p>
    <w:p>
      <w:pPr>
        <w:jc w:val="both"/>
        <w:ind w:right="6480" w:firstLine="4"/>
        <w:spacing w:after="0" w:line="176" w:lineRule="exact"/>
        <w:tabs>
          <w:tab w:leader="none" w:pos="45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xml:space="preserve">Written communications pursuant to Rule 425 under the Securities Act (17 CFR 230.425)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Soliciting material pursuant to Rule 14a-12 under the Exchange Act (17 CFR 240.14a-12)</w:t>
      </w:r>
    </w:p>
    <w:p>
      <w:pPr>
        <w:spacing w:after="0" w:line="1" w:lineRule="exact"/>
        <w:rPr>
          <w:rFonts w:ascii="MS PGothic" w:cs="MS PGothic" w:eastAsia="MS PGothic" w:hAnsi="MS PGothic"/>
          <w:sz w:val="12"/>
          <w:szCs w:val="12"/>
          <w:color w:val="auto"/>
        </w:rPr>
      </w:pPr>
    </w:p>
    <w:p>
      <w:pPr>
        <w:jc w:val="both"/>
        <w:ind w:right="5420"/>
        <w:spacing w:after="0" w:line="180"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14d-2(b) under the Exchange Act (17 CFR 240.14d-2(b))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7" w:lineRule="exact"/>
        <w:rPr>
          <w:sz w:val="24"/>
          <w:szCs w:val="24"/>
          <w:color w:val="auto"/>
        </w:rPr>
      </w:pPr>
    </w:p>
    <w:tbl>
      <w:tblPr>
        <w:tblLayout w:type="fixed"/>
        <w:tblInd w:w="10" w:type="dxa"/>
        <w:tblCellMar>
          <w:top w:w="0" w:type="dxa"/>
          <w:left w:w="0" w:type="dxa"/>
          <w:bottom w:w="0" w:type="dxa"/>
          <w:right w:w="0" w:type="dxa"/>
        </w:tblCellMar>
      </w:tblPr>
      <w:tr>
        <w:trPr>
          <w:trHeight w:val="185"/>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6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HBT</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87" w:lineRule="exact"/>
        <w:rPr>
          <w:sz w:val="24"/>
          <w:szCs w:val="24"/>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84"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488950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55880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9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October 26, 2026, HBT Financial, Inc. (the “Company”) issued a press release announcing its financial results for the third quarter ended and nine months ended September 30, 2026 (the “Earnings Release”). A copy of the Earnings Release is furnished as Exhibit 99.1 to this Current Report on Form 8-K (this “Report”) and is incorporated herein by reference.</w:t>
      </w:r>
    </w:p>
    <w:p>
      <w:pPr>
        <w:spacing w:after="0" w:line="10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2"/>
          <w:szCs w:val="12"/>
          <w:i w:val="1"/>
          <w:iCs w:val="1"/>
          <w:color w:val="auto"/>
        </w:rPr>
        <w:t>The information contained in Item 2.02, including Exhibit 99.1 furnished herewith, shall not be deemed “filed” for purposes of Section 18 of the Securities Exchange Act of 1934, as amended (the “Exchange Act”), or otherwise subject to the liabilities under that section, nor shall it be deemed incorporated by reference into any registration statement or other document pursuant to the Securities Act of 1933, as amended (the “Securities Act”), or into any filing or other document pursuant to the Exchange Act, except to the extent required by applicable law or regulation.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Company has prepared a presentation of its results for the third quarter ended and nine months ended September 30, 2026 (the “Presentation”) to be used from time to time during meetings with members of the investment community. A copy of the Presentation is furnished as Exhibit 99.2 to this Report and is incorporated herein by reference. The Presentation will also be made available on the Company’s investor relations website at ir.hbtfinancial.com under the Presentations section.</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2"/>
          <w:szCs w:val="12"/>
          <w:i w:val="1"/>
          <w:iCs w:val="1"/>
          <w:color w:val="auto"/>
        </w:rPr>
        <w:t>The information contained in Item 7.01, including Exhibit 99.2 furnished herewith, shall not be deemed “filed” for purposes of Section 18 of the Exchange Act, or otherwise subject to the liabilities under that section, nor shall it be deemed incorporated by reference into any registration statement or other document pursuant to the Securities Act, or into any filing or other document pursuant to the Exchange Act, except to the extent required by applicable law or regulation.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78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225"/>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130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Earnings Release issued October 26, 2026 for the Third Quarter Ended and Nine Months Ended September 30, 2026.</w:t>
            </w:r>
          </w:p>
        </w:tc>
      </w:tr>
      <w:tr>
        <w:trPr>
          <w:trHeight w:val="232"/>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300" w:type="dxa"/>
            <w:vAlign w:val="bottom"/>
          </w:tcPr>
          <w:p>
            <w:pPr>
              <w:spacing w:after="0"/>
              <w:rPr>
                <w:sz w:val="20"/>
                <w:szCs w:val="20"/>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Presentation of Results for the Third Quarter Ended September 30, 2026.</w:t>
            </w:r>
          </w:p>
        </w:tc>
      </w:tr>
      <w:tr>
        <w:trPr>
          <w:trHeight w:val="259"/>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300" w:type="dxa"/>
            <w:vAlign w:val="bottom"/>
          </w:tcPr>
          <w:p>
            <w:pPr>
              <w:spacing w:after="0"/>
              <w:rPr>
                <w:sz w:val="22"/>
                <w:szCs w:val="22"/>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84"/>
        </w:trPr>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HBT FINANCIAL, INC.</w:t>
      </w:r>
    </w:p>
    <w:p>
      <w:pPr>
        <w:spacing w:after="0" w:line="235" w:lineRule="exact"/>
        <w:rPr>
          <w:sz w:val="20"/>
          <w:szCs w:val="20"/>
          <w:color w:val="auto"/>
        </w:rPr>
      </w:pPr>
    </w:p>
    <w:p>
      <w:pPr>
        <w:ind w:left="5440"/>
        <w:spacing w:after="0"/>
        <w:tabs>
          <w:tab w:leader="none" w:pos="59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Peter 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10795</wp:posOffset>
            </wp:positionV>
            <wp:extent cx="341757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7570" cy="5715"/>
                    </a:xfrm>
                    <a:prstGeom prst="rect">
                      <a:avLst/>
                    </a:prstGeom>
                    <a:noFill/>
                  </pic:spPr>
                </pic:pic>
              </a:graphicData>
            </a:graphic>
          </wp:anchor>
        </w:drawing>
      </w:r>
    </w:p>
    <w:p>
      <w:pPr>
        <w:spacing w:after="0" w:line="1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Name: Peter R. Chapman</w:t>
      </w:r>
    </w:p>
    <w:p>
      <w:pPr>
        <w:spacing w:after="0" w:line="2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October 26, 2026</w:t>
      </w:r>
    </w:p>
    <w:p>
      <w:pPr>
        <w:sectPr>
          <w:pgSz w:w="11900" w:h="16838" w:orient="portrait"/>
          <w:cols w:equalWidth="0" w:num="1">
            <w:col w:w="10159"/>
          </w:cols>
          <w:pgMar w:left="300" w:top="809"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136588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58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HBT FINANCIAL, INC. ANNOUNCES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THIRD QUARTER 2026 FINANCIAL RESULTS</w:t>
      </w: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Third Quarter Highlights</w:t>
      </w:r>
    </w:p>
    <w:p>
      <w:pPr>
        <w:spacing w:after="0" w:line="150" w:lineRule="exact"/>
        <w:rPr>
          <w:sz w:val="20"/>
          <w:szCs w:val="20"/>
          <w:color w:val="auto"/>
        </w:rPr>
      </w:pPr>
    </w:p>
    <w:p>
      <w:pPr>
        <w:ind w:left="420" w:right="440" w:hanging="212"/>
        <w:spacing w:after="0" w:line="299"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income of $31.4 million, or $0.86 per diluted share; return on average assets (“ROAA”) of 1.85%; return on average stockholders' equity (“ROAE”) of 16.17%; and return on average tangible common equity (“ROATCE”)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19.27%</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Adjusted net income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$31.4 million, or $0.86 per diluted share; adjusted ROAA</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1.85%; adjusted ROAE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16.18%; and adjusted ROATCE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19.29%</w:t>
      </w:r>
    </w:p>
    <w:p>
      <w:pPr>
        <w:spacing w:after="0" w:line="118"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Asset quality remains strong, with nonperforming assets to total assets of 0.16% and net recoveries to average loans of 0.04%, on an annualized basis</w:t>
      </w:r>
    </w:p>
    <w:p>
      <w:pPr>
        <w:spacing w:after="0" w:line="147"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interest margin increased 3 basis points to 4.35%, and net interest margin (tax-equivalent basis)</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increased 2 basis points to 4.40%</w:t>
      </w:r>
    </w:p>
    <w:p>
      <w:pPr>
        <w:spacing w:after="0" w:line="118" w:lineRule="exact"/>
        <w:rPr>
          <w:sz w:val="20"/>
          <w:szCs w:val="20"/>
          <w:color w:val="auto"/>
        </w:rPr>
      </w:pPr>
    </w:p>
    <w:p>
      <w:pPr>
        <w:jc w:val="both"/>
        <w:ind w:right="120"/>
        <w:spacing w:after="0" w:line="268" w:lineRule="auto"/>
        <w:rPr>
          <w:sz w:val="20"/>
          <w:szCs w:val="20"/>
          <w:color w:val="auto"/>
        </w:rPr>
      </w:pPr>
      <w:r>
        <w:rPr>
          <w:rFonts w:ascii="Arial" w:cs="Arial" w:eastAsia="Arial" w:hAnsi="Arial"/>
          <w:sz w:val="12"/>
          <w:szCs w:val="12"/>
          <w:b w:val="1"/>
          <w:bCs w:val="1"/>
          <w:color w:val="auto"/>
        </w:rPr>
        <w:t xml:space="preserve">Bloomington, IL, October 26, 2026 </w:t>
      </w:r>
      <w:r>
        <w:rPr>
          <w:rFonts w:ascii="Arial" w:cs="Arial" w:eastAsia="Arial" w:hAnsi="Arial"/>
          <w:sz w:val="12"/>
          <w:szCs w:val="12"/>
          <w:color w:val="auto"/>
        </w:rPr>
        <w:t>– HBT Financial, Inc. (NASDAQ: HBT) (the “Company”, “HBT Financial” or “HBT”), the holding company for Heartland Bank and Trust Company, today reported net income of</w:t>
      </w:r>
      <w:r>
        <w:rPr>
          <w:rFonts w:ascii="Arial" w:cs="Arial" w:eastAsia="Arial" w:hAnsi="Arial"/>
          <w:sz w:val="12"/>
          <w:szCs w:val="12"/>
          <w:b w:val="1"/>
          <w:bCs w:val="1"/>
          <w:color w:val="auto"/>
        </w:rPr>
        <w:t xml:space="preserve"> </w:t>
      </w:r>
      <w:r>
        <w:rPr>
          <w:rFonts w:ascii="Arial" w:cs="Arial" w:eastAsia="Arial" w:hAnsi="Arial"/>
          <w:sz w:val="12"/>
          <w:szCs w:val="12"/>
          <w:color w:val="auto"/>
        </w:rPr>
        <w:t>$31.4 million, or $0.86 diluted earnings per share, for the third quarter of 2026. This compares to net income of $27.8 million, or $0.76 diluted earnings per share, for the second quarter of 2026, and net income of $19.8 million, or $0.63 diluted earnings per share, for the third quarter of 2025.</w:t>
      </w:r>
    </w:p>
    <w:p>
      <w:pPr>
        <w:spacing w:after="0" w:line="113" w:lineRule="exact"/>
        <w:rPr>
          <w:sz w:val="20"/>
          <w:szCs w:val="20"/>
          <w:color w:val="auto"/>
        </w:rPr>
      </w:pPr>
    </w:p>
    <w:p>
      <w:pPr>
        <w:ind w:right="20"/>
        <w:spacing w:after="0" w:line="229" w:lineRule="auto"/>
        <w:rPr>
          <w:sz w:val="20"/>
          <w:szCs w:val="20"/>
          <w:color w:val="auto"/>
        </w:rPr>
      </w:pPr>
      <w:r>
        <w:rPr>
          <w:rFonts w:ascii="Arial" w:cs="Arial" w:eastAsia="Arial" w:hAnsi="Arial"/>
          <w:sz w:val="12"/>
          <w:szCs w:val="12"/>
          <w:color w:val="auto"/>
        </w:rPr>
        <w:t>J. Lance Carter, President and Chief Executive Officer of HBT Financial, said, “Our third quarter results were very strong with adjusted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$31.4 million, or $0.86 per diluted share, an increase of 10.1% over the prior quarter. Profitability also remained strong with adjusted ROAA</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1.85% and adjusted ROATCE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19.29%. Our net interest margin on a tax 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4.40%, an increase of 2 basis points compared to the second quarter of 2026, as maturing fixed-rate loans repriced higher and securities cash flows were reinvested at higher rates, slightly offset by a higher cost of funds and lower loan accretion income. Noninterest income was above expectations, aided by wealth management, seasonally higher mortgage income, and a nonrecurring $0.4 million excise tax refund. Expenses were well controlled during the quarter, with an efficiency ratio on a tax 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48.24%. Asset quality also remains exceptional, with nonperforming assets to total assets of 0.16%, and net recoveries to average loans of 0.04%, on an annualized basis, during the quarter. Finally, our balance sheet remains strong with all regulatory capital ratios increasing during the quarter, including a common equity tier 1 capital ratio of 12.94% and total capital to risk-weighted assets ratio of 16.48%.</w:t>
      </w:r>
    </w:p>
    <w:p>
      <w:pPr>
        <w:spacing w:after="0" w:line="133"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Integration planning for the acquisition of Tri-County Financial Group, Inc. is progressing well, and we anticipate this transaction closing early in the first quarter of 2027, subject to their stockholder approval and regulatory approvals. We have been very impressed with their people and overall organization, and we are looking forward to a successful closing.”</w:t>
      </w:r>
    </w:p>
    <w:p>
      <w:pPr>
        <w:spacing w:after="0" w:line="228" w:lineRule="auto"/>
        <w:rPr>
          <w:sz w:val="20"/>
          <w:szCs w:val="20"/>
          <w:color w:val="auto"/>
        </w:rPr>
      </w:pPr>
      <w:r>
        <w:rPr>
          <w:rFonts w:ascii="Arial" w:cs="Arial" w:eastAsia="Arial" w:hAnsi="Arial"/>
          <w:sz w:val="10"/>
          <w:szCs w:val="10"/>
          <w:color w:val="auto"/>
        </w:rPr>
        <w:t>____________________________________</w:t>
      </w: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See “Reconciliation of Non-GAAP Financial Measures” below for reconciliation of non-GAAP financial measures to their most closely comparable GAAP financial measures.</w:t>
      </w:r>
    </w:p>
    <w:p>
      <w:pPr>
        <w:sectPr>
          <w:pgSz w:w="11900" w:h="16838" w:orient="portrait"/>
          <w:cols w:equalWidth="0" w:num="1">
            <w:col w:w="11300"/>
          </w:cols>
          <w:pgMar w:left="300" w:top="811" w:right="299" w:bottom="1440" w:gutter="0" w:footer="0" w:header="0"/>
        </w:sectPr>
      </w:pPr>
    </w:p>
    <w:bookmarkStart w:id="4" w:name="page5"/>
    <w:bookmarkEnd w:id="4"/>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Adjusted Net Income</w:t>
      </w:r>
    </w:p>
    <w:p>
      <w:pPr>
        <w:spacing w:after="0" w:line="150"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In addition to reporting GAAP results, the Company believes non-GAAP measures such as adjusted net income and adjusted earnings per share, which adjust for acquisition expenses, branch closure expenses, net earnings (losses) on closed or sold operations, losses on extinguishment of debt, gains (losses) on closed branch premises, realized gains (losses) on sales of securities, mortgage servicing rights (“MSR”) fair value adjustments, and the tax effect of these pre-tax adjustments, provide investors with additional insight into its operational performance. The Company reported adjusted net income of $ 31.4 million, or $0.86 adjusted diluted earnings per share, for the third quarter of 2026. This compares to adjusted net income of $28.5 million, or $ 0.78 adjusted diluted earnings per share, for the second quarter of 2026, and adjusted net income of $20.5 million, or $0.65 adjusted diluted earnings per share, for the third quarter of 2025. See “Reconciliation of Non-GAAP Financial Measures” tables below for reconciliation of non-GAAP financial measures to their most closely comparable 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Pending Acquisition of Tri-County Financial Group, Inc. and Completed Transaction with CNB Bank Shares, Inc.</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On August 10, 2026, HBT Financial and Tri-County Financial Group, Inc. (“TYFG” or “Tri-County”), the holding company for First State Bank (“FSB”), jointly announced the signing of a definitive agreement pursuant to which HBT Financial will acquire TYFG and FSB. The acquisition will increase HBT Financial’s density in its central Illinois and Chicago MSA markets. The transaction is expected to close early in the first quarter of 2027, subject to their stockholder approval and regulatory approvals.</w:t>
      </w:r>
    </w:p>
    <w:p>
      <w:pPr>
        <w:spacing w:after="0" w:line="114"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color w:val="auto"/>
        </w:rPr>
        <w:t>CNB Bank Shares, Inc. (“CNB”) and TYFG acquisition-related expenses during the second and third quarter of 2026 and during the nine months ended September 30, 2026 are summarized below. There were no acquisition-related expenses during the third quarter of 2025 or during the nine months ended September 30,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4"/>
          </w:tcPr>
          <w:p>
            <w:pPr>
              <w:ind w:left="74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91"/>
        </w:trPr>
        <w:tc>
          <w:tcPr>
            <w:tcW w:w="414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7"/>
                <w:szCs w:val="7"/>
                <w:color w:val="auto"/>
              </w:rPr>
            </w:pPr>
          </w:p>
        </w:tc>
        <w:tc>
          <w:tcPr>
            <w:tcW w:w="1240" w:type="dxa"/>
            <w:vAlign w:val="bottom"/>
            <w:gridSpan w:val="2"/>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220" w:type="dxa"/>
            <w:vAlign w:val="bottom"/>
            <w:vMerge w:val="restart"/>
          </w:tcPr>
          <w:p>
            <w:pPr>
              <w:jc w:val="right"/>
              <w:ind w:right="302"/>
              <w:spacing w:after="0"/>
              <w:rPr>
                <w:sz w:val="20"/>
                <w:szCs w:val="20"/>
                <w:color w:val="auto"/>
              </w:rPr>
            </w:pPr>
            <w:r>
              <w:rPr>
                <w:rFonts w:ascii="Arial" w:cs="Arial" w:eastAsia="Arial" w:hAnsi="Arial"/>
                <w:sz w:val="10"/>
                <w:szCs w:val="10"/>
                <w:b w:val="1"/>
                <w:bCs w:val="1"/>
                <w:color w:val="auto"/>
              </w:rPr>
              <w:t>June 30, 2026</w:t>
            </w:r>
          </w:p>
        </w:tc>
        <w:tc>
          <w:tcPr>
            <w:tcW w:w="80" w:type="dxa"/>
            <w:vAlign w:val="bottom"/>
            <w:vMerge w:val="restart"/>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220" w:type="dxa"/>
            <w:vAlign w:val="bottom"/>
          </w:tcPr>
          <w:p>
            <w:pPr>
              <w:spacing w:after="0"/>
              <w:rPr>
                <w:sz w:val="7"/>
                <w:szCs w:val="7"/>
                <w:color w:val="auto"/>
              </w:rPr>
            </w:pPr>
          </w:p>
        </w:tc>
        <w:tc>
          <w:tcPr>
            <w:tcW w:w="1220" w:type="dxa"/>
            <w:vAlign w:val="bottom"/>
            <w:gridSpan w:val="2"/>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220" w:type="dxa"/>
            <w:vAlign w:val="bottom"/>
          </w:tcPr>
          <w:p>
            <w:pPr>
              <w:spacing w:after="0"/>
              <w:rPr>
                <w:sz w:val="7"/>
                <w:szCs w:val="7"/>
                <w:color w:val="auto"/>
              </w:rPr>
            </w:pPr>
          </w:p>
        </w:tc>
        <w:tc>
          <w:tcPr>
            <w:tcW w:w="1160" w:type="dxa"/>
            <w:vAlign w:val="bottom"/>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2"/>
        </w:trPr>
        <w:tc>
          <w:tcPr>
            <w:tcW w:w="414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9"/>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Salaries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2"/>
                <w:szCs w:val="12"/>
                <w:color w:val="auto"/>
              </w:rPr>
              <w:t>Occupancy of bank premises</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Furniture and equipment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2"/>
                <w:szCs w:val="12"/>
                <w:color w:val="auto"/>
              </w:rPr>
              <w:t>Data processing</w:t>
            </w:r>
          </w:p>
        </w:tc>
        <w:tc>
          <w:tcPr>
            <w:tcW w:w="200" w:type="dxa"/>
            <w:vAlign w:val="bottom"/>
          </w:tcPr>
          <w:p>
            <w:pPr>
              <w:spacing w:after="0"/>
              <w:rPr>
                <w:sz w:val="14"/>
                <w:szCs w:val="14"/>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260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9,019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Marketing and customer relations</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2"/>
                <w:szCs w:val="12"/>
                <w:color w:val="auto"/>
              </w:rPr>
              <w:t>Loan collection and servicing</w:t>
            </w: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Professional fees and other noninterest expense</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140" w:type="dxa"/>
            <w:vAlign w:val="bottom"/>
          </w:tcPr>
          <w:p>
            <w:pPr>
              <w:ind w:left="80"/>
              <w:spacing w:after="0"/>
              <w:rPr>
                <w:sz w:val="20"/>
                <w:szCs w:val="20"/>
                <w:color w:val="auto"/>
              </w:rPr>
            </w:pPr>
            <w:r>
              <w:rPr>
                <w:rFonts w:ascii="Arial" w:cs="Arial" w:eastAsia="Arial" w:hAnsi="Arial"/>
                <w:sz w:val="12"/>
                <w:szCs w:val="12"/>
                <w:b w:val="1"/>
                <w:bCs w:val="1"/>
                <w:color w:val="auto"/>
              </w:rPr>
              <w:t>Total acquisition-related expenses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1,005</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16,928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Interest Income and Net Interest Margin</w:t>
      </w:r>
    </w:p>
    <w:p>
      <w:pPr>
        <w:spacing w:after="0" w:line="15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Net interest income for the third quarter of 2026 was $70.3 million, an increase of 1.8% from $69.1 million for the second quarter of 2026. The increase was primarily attributable to higher yields on loans and higher average loan balances. A $0.5 million increase in loan fees and a $0.2 million increase in nonaccrual interest recoveries further contributed to the overall increase. Partially offsetting these increases were an $0.8 million decrease in acquired loan discount accretion, which totaled $1.3 million for the third quarter of 2026, and higher funding costs.</w:t>
      </w:r>
    </w:p>
    <w:p>
      <w:pPr>
        <w:spacing w:after="0" w:line="11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Relative to the third quarter of 2025, net interest income increased 40.7% from $50.0 million. The increase was primarily attributable to higher average interest-earning asset balances following the CNB merger and improved yields on debt securities and loans. Additionally, a $0.4 million increase in acquired loan discount accretion, a $0.4 million increase in loan fees, and a $0.3 million increase in nonaccrual interest recoveries further contributed to the improvement.</w:t>
      </w:r>
    </w:p>
    <w:p>
      <w:pPr>
        <w:sectPr>
          <w:pgSz w:w="11900" w:h="16838" w:orient="portrait"/>
          <w:cols w:equalWidth="0" w:num="1">
            <w:col w:w="11300"/>
          </w:cols>
          <w:pgMar w:left="300" w:top="135" w:right="299" w:bottom="1440" w:gutter="0" w:footer="0" w:header="0"/>
        </w:sectPr>
      </w:pPr>
    </w:p>
    <w:bookmarkStart w:id="5" w:name="page6"/>
    <w:bookmarkEnd w:id="5"/>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3</w:t>
      </w:r>
    </w:p>
    <w:p>
      <w:pPr>
        <w:spacing w:after="0" w:line="200" w:lineRule="exact"/>
        <w:rPr>
          <w:sz w:val="20"/>
          <w:szCs w:val="20"/>
          <w:color w:val="auto"/>
        </w:rPr>
      </w:pPr>
    </w:p>
    <w:p>
      <w:pPr>
        <w:spacing w:after="0" w:line="235" w:lineRule="exact"/>
        <w:rPr>
          <w:sz w:val="20"/>
          <w:szCs w:val="20"/>
          <w:color w:val="auto"/>
        </w:rPr>
      </w:pPr>
    </w:p>
    <w:p>
      <w:pPr>
        <w:ind w:right="100"/>
        <w:spacing w:after="0" w:line="239" w:lineRule="auto"/>
        <w:rPr>
          <w:sz w:val="20"/>
          <w:szCs w:val="20"/>
          <w:color w:val="auto"/>
        </w:rPr>
      </w:pPr>
      <w:r>
        <w:rPr>
          <w:rFonts w:ascii="Arial" w:cs="Arial" w:eastAsia="Arial" w:hAnsi="Arial"/>
          <w:sz w:val="12"/>
          <w:szCs w:val="12"/>
          <w:color w:val="auto"/>
        </w:rPr>
        <w:t>Net interest margin for the third quarter of 2026 was 4.35%, compared to 4.32% for the second quarter of 2026, while net interest margin (tax-equivalent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for the third quarter of 2026 was 4.40%, compared to 4.38% for the second quarter of 2026. These increases were primarily attributable to improved yields on loans, which increased 5 basis points to 6.43%. These increases were partially offset by higher funding costs, which increased 4 basis points to 1.36%, driven primarily by increases in benchmark interest rates.</w:t>
      </w:r>
    </w:p>
    <w:p>
      <w:pPr>
        <w:spacing w:after="0" w:line="129" w:lineRule="exact"/>
        <w:rPr>
          <w:sz w:val="20"/>
          <w:szCs w:val="20"/>
          <w:color w:val="auto"/>
        </w:rPr>
      </w:pPr>
    </w:p>
    <w:p>
      <w:pPr>
        <w:ind w:right="60"/>
        <w:spacing w:after="0" w:line="234" w:lineRule="auto"/>
        <w:rPr>
          <w:sz w:val="20"/>
          <w:szCs w:val="20"/>
          <w:color w:val="auto"/>
        </w:rPr>
      </w:pPr>
      <w:r>
        <w:rPr>
          <w:rFonts w:ascii="Arial" w:cs="Arial" w:eastAsia="Arial" w:hAnsi="Arial"/>
          <w:sz w:val="12"/>
          <w:szCs w:val="12"/>
          <w:color w:val="auto"/>
        </w:rPr>
        <w:t>Relative to the third quarter of 2025, net interest margin increased 22 basis points from 4.13% and net interest margin (tax-equivalent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increased 22 basis points from 4.18%. These increases were primarily attributable to improved yields on debt securities and loans as well as a more favorable interest-earning asset mix, which were partially offset by higher funding costs.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w:t>
      </w:r>
    </w:p>
    <w:p>
      <w:pPr>
        <w:spacing w:after="0" w:line="3"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See “Reconciliation of Non-GAAP Financial Measures” below for reconciliation of non-GAAP financial measures to their most closely comparable GAAP financial measures.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Noninterest Income</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Noninterest income for the third quarter of 2026 was $ 14.2 million, a 20.2% increase from $11.8 million for the second quarter of 2026. The increase was primarily attributable to changes in the MSR fair value adjustment, with a $ 1.5 million positive MSR fair value adjustment included in the third quarter of 2026 results compared to an $0.8 million negative MSR fair value adjustment included in the second quarter of 2026 results. Additionally, a $0.4 million nonrecurring refund of stock repurchase excise tax as a result of a change in tax regulation included in other noninterest income contributed to the improvement.</w:t>
      </w:r>
    </w:p>
    <w:p>
      <w:pPr>
        <w:spacing w:after="0" w:line="114"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Relative to the third quarter of 2025, noninterest income increased 44.6% from $9.8 million. The increase was primarily attributable to changes in the MSR fair value adjustment, with a $ 1.5 million positive MSR fair value adjustment included in the third quarter of 2026 results compared to a $0.5 million negative MSR fair value adjustment included in the third quarter of 2025 results. Additionally, an $0.8 million increase in wealth management fees, a $0.6 million increase in service charges on deposit accounts, and a $0.5 million increase in card income, all primarily driven by a larger customer base following the CNB merger, contributed to the increase.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Noninterest Expense</w:t>
      </w:r>
    </w:p>
    <w:p>
      <w:pPr>
        <w:spacing w:after="0" w:line="150"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Noninterest expense for the third quarter of 2026 was $42.7 million, a 0.5% increase from the second quarter of 2026. Acquisition-related noninterest expenses totaled $ 1.0 million during the third quarter of 2026, compared to $0.3 million during the second quarter of 2026. Excluding acquisition-related expenses, noninterest expense for the third quarter of 2026 was $41.7 million, a $0.5 million decrease from the second quarter of 2026. The decrease was primarily attributable to a $1.1 million decrease in salaries expense, which was partially offset by a $0.4 million increase in occupancy expense, primarily due to planned building maintenance and upgrades, and a $0.3 million increase in employee benefits expense, driven by higher medical benefits costs.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Relative to the third quarter of 2025, noninterest expense increased 31.2% from $32.5 million. Excluding acquisition-related expenses, the $ 9.2 million increase in noninterest expense was primarily attributable to higher base costs following the CNB merger, including a $5.8 million increase in salaries and employee benefits expenses, which were also driven higher by annual merit increases and higher medical benefits costs, as well as increases in occupancy, data processing, and marketing expenses.</w:t>
      </w:r>
    </w:p>
    <w:p>
      <w:pPr>
        <w:sectPr>
          <w:pgSz w:w="11900" w:h="16838" w:orient="portrait"/>
          <w:cols w:equalWidth="0" w:num="1">
            <w:col w:w="11300"/>
          </w:cols>
          <w:pgMar w:left="300" w:top="135" w:right="299" w:bottom="1440" w:gutter="0" w:footer="0" w:header="0"/>
        </w:sectPr>
      </w:pPr>
    </w:p>
    <w:bookmarkStart w:id="6" w:name="page7"/>
    <w:bookmarkEnd w:id="6"/>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Loan Portfolio</w:t>
      </w:r>
    </w:p>
    <w:p>
      <w:pPr>
        <w:spacing w:after="0" w:line="150" w:lineRule="exact"/>
        <w:rPr>
          <w:sz w:val="20"/>
          <w:szCs w:val="20"/>
          <w:color w:val="auto"/>
        </w:rPr>
      </w:pPr>
    </w:p>
    <w:p>
      <w:pPr>
        <w:ind w:right="220"/>
        <w:spacing w:after="0" w:line="268" w:lineRule="auto"/>
        <w:rPr>
          <w:sz w:val="20"/>
          <w:szCs w:val="20"/>
          <w:color w:val="auto"/>
        </w:rPr>
      </w:pPr>
      <w:r>
        <w:rPr>
          <w:rFonts w:ascii="Arial" w:cs="Arial" w:eastAsia="Arial" w:hAnsi="Arial"/>
          <w:sz w:val="12"/>
          <w:szCs w:val="12"/>
          <w:color w:val="auto"/>
        </w:rPr>
        <w:t>Total loans outstanding, before allowance for credit losses, were $4.78 billion at September 30, 2026, compared with $4.75 billion at June 30, 2026, and $3.40 billion at September 30, 2025. The $30.3 million increase from June 30, 2026 was primarily due to new fundings and draws on existing loans within the construction and land development category, partially offset by seasonal reductions of $8.8 million on grain elevator lines within the commercial and industrial category, as well as several payoffs due to refinance within the multifamily category.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Deposits</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Total deposits were $5.75 billion at September 30, 2026, compared with $5.76 billion at June 30, 2026, and $4.35 billion at September 30, 2025. The $5.6 million decrease from June 30, 2026 was primarily attributable to lower balances maintained in existing retail accounts and seasonally lower public funds balances, which were partially offset by an increase in business account balances. Additionally, $60.0 million of wealth management customer reciprocal deposits were moved on-balance sheet during the third quarter of 2026.</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Quality</w:t>
      </w:r>
    </w:p>
    <w:p>
      <w:pPr>
        <w:spacing w:after="0" w:line="150"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Nonperforming assets totaled $10.8 million, or 0.16% of total assets, at September 30, 2026, compared with $9.9 million, or 0.15% of total assets, at June 30, 2026, and $8.6 million, or 0.17% of total assets, at September 30, 2025. The majority of the $0.9 million increase in nonperforming assets from June 30, 2026 was attributable to increases in nonaccrual loan balances in the one-to-four family residential category. Additionally, of the $10.1 million of nonperforming loans held as of September 30, 2026, $2.4 million were either wholly or partially guaranteed by the U.S. government.</w:t>
      </w:r>
    </w:p>
    <w:p>
      <w:pPr>
        <w:spacing w:after="0" w:line="114"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Company recorded a negative provision for credit losses of $0.6 million for the third quarter of 2026. The negative provision for credit losses primarily reflects a $1.9 million decrease in required reserves driven by changes within the portfolio, which included net recoveries of $0.5 million; a $0.6 million decrease in required reserves driven by changes in the economic forecast; a $0.1 million decrease in specific reserves; and a $2.0 million increase in required reserves resulting from changes in qualitative factors.</w:t>
      </w:r>
    </w:p>
    <w:p>
      <w:pPr>
        <w:spacing w:after="0" w:line="114" w:lineRule="exact"/>
        <w:rPr>
          <w:sz w:val="20"/>
          <w:szCs w:val="20"/>
          <w:color w:val="auto"/>
        </w:rPr>
      </w:pPr>
    </w:p>
    <w:p>
      <w:pPr>
        <w:ind w:right="420"/>
        <w:spacing w:after="0" w:line="286" w:lineRule="auto"/>
        <w:rPr>
          <w:sz w:val="20"/>
          <w:szCs w:val="20"/>
          <w:color w:val="auto"/>
        </w:rPr>
      </w:pPr>
      <w:r>
        <w:rPr>
          <w:rFonts w:ascii="Arial" w:cs="Arial" w:eastAsia="Arial" w:hAnsi="Arial"/>
          <w:sz w:val="12"/>
          <w:szCs w:val="12"/>
          <w:color w:val="auto"/>
        </w:rPr>
        <w:t>The Company had net recoveries of $0.5 million, or 0.04% of average loans on an annualized basis, for the third quarter of 2026, compared to net recoveries of $0.1 million, or 0.01% of average loans on an annualized basis, for the second quarter of 2026, and net charge-offs of $0.1 million, or 0.02% of average loans on an annualized basis, for the third quarter of 2025.</w:t>
      </w:r>
    </w:p>
    <w:p>
      <w:pPr>
        <w:spacing w:after="0" w:line="103"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color w:val="auto"/>
        </w:rPr>
        <w:t>The Company’s allowance for credit losses was 1.26% of total loans and 599% of nonperforming loans at September 30, 2026, compared with 1.27% of total loans and 666% of nonperforming loans at June 30, 2026. In addition, the allowance for credit losses on unfunded lending-related commitments totaled $6.6 million as of September 30, 2026, compared with $6.6 million as of June 30, 2026.</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2026, the Company exceeded all regulatory capital requirements under Basel III as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jc w:val="center"/>
              <w:spacing w:after="0"/>
              <w:rPr>
                <w:sz w:val="20"/>
                <w:szCs w:val="20"/>
                <w:color w:val="auto"/>
              </w:rPr>
            </w:pPr>
            <w:r>
              <w:rPr>
                <w:rFonts w:ascii="Arial" w:cs="Arial" w:eastAsia="Arial" w:hAnsi="Arial"/>
                <w:sz w:val="10"/>
                <w:szCs w:val="10"/>
                <w:b w:val="1"/>
                <w:bCs w:val="1"/>
                <w:color w:val="auto"/>
                <w:w w:val="95"/>
              </w:rPr>
              <w:t>For Capital</w:t>
            </w:r>
          </w:p>
        </w:tc>
        <w:tc>
          <w:tcPr>
            <w:tcW w:w="0" w:type="dxa"/>
            <w:vAlign w:val="bottom"/>
          </w:tcPr>
          <w:p>
            <w:pPr>
              <w:spacing w:after="0"/>
              <w:rPr>
                <w:sz w:val="1"/>
                <w:szCs w:val="1"/>
                <w:color w:val="auto"/>
              </w:rPr>
            </w:pPr>
          </w:p>
        </w:tc>
      </w:tr>
      <w:tr>
        <w:trPr>
          <w:trHeight w:val="99"/>
        </w:trPr>
        <w:tc>
          <w:tcPr>
            <w:tcW w:w="67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5"/>
              </w:rPr>
              <w:t>Adequacy Purposes</w:t>
            </w:r>
          </w:p>
        </w:tc>
        <w:tc>
          <w:tcPr>
            <w:tcW w:w="0" w:type="dxa"/>
            <w:vAlign w:val="bottom"/>
          </w:tcPr>
          <w:p>
            <w:pPr>
              <w:spacing w:after="0"/>
              <w:rPr>
                <w:sz w:val="1"/>
                <w:szCs w:val="1"/>
                <w:color w:val="auto"/>
              </w:rPr>
            </w:pPr>
          </w:p>
        </w:tc>
      </w:tr>
      <w:tr>
        <w:trPr>
          <w:trHeight w:val="99"/>
        </w:trPr>
        <w:tc>
          <w:tcPr>
            <w:tcW w:w="6720" w:type="dxa"/>
            <w:vAlign w:val="bottom"/>
          </w:tcPr>
          <w:p>
            <w:pPr>
              <w:spacing w:after="0"/>
              <w:rPr>
                <w:sz w:val="8"/>
                <w:szCs w:val="8"/>
                <w:color w:val="auto"/>
              </w:rPr>
            </w:pPr>
          </w:p>
        </w:tc>
        <w:tc>
          <w:tcPr>
            <w:tcW w:w="1680" w:type="dxa"/>
            <w:vAlign w:val="bottom"/>
            <w:vMerge w:val="restart"/>
          </w:tcPr>
          <w:p>
            <w:pPr>
              <w:ind w:left="680"/>
              <w:spacing w:after="0"/>
              <w:rPr>
                <w:sz w:val="20"/>
                <w:szCs w:val="20"/>
                <w:color w:val="auto"/>
              </w:rPr>
            </w:pPr>
            <w:r>
              <w:rPr>
                <w:rFonts w:ascii="Arial" w:cs="Arial" w:eastAsia="Arial" w:hAnsi="Arial"/>
                <w:sz w:val="10"/>
                <w:szCs w:val="10"/>
                <w:b w:val="1"/>
                <w:bCs w:val="1"/>
                <w:color w:val="auto"/>
              </w:rPr>
              <w:t>September 30, 2026</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3"/>
              </w:rPr>
              <w:t>With Capital</w:t>
            </w:r>
          </w:p>
        </w:tc>
        <w:tc>
          <w:tcPr>
            <w:tcW w:w="0" w:type="dxa"/>
            <w:vAlign w:val="bottom"/>
          </w:tcPr>
          <w:p>
            <w:pPr>
              <w:spacing w:after="0"/>
              <w:rPr>
                <w:sz w:val="1"/>
                <w:szCs w:val="1"/>
                <w:color w:val="auto"/>
              </w:rPr>
            </w:pPr>
          </w:p>
        </w:tc>
      </w:tr>
      <w:tr>
        <w:trPr>
          <w:trHeight w:val="132"/>
        </w:trPr>
        <w:tc>
          <w:tcPr>
            <w:tcW w:w="6720" w:type="dxa"/>
            <w:vAlign w:val="bottom"/>
          </w:tcPr>
          <w:p>
            <w:pPr>
              <w:spacing w:after="0"/>
              <w:rPr>
                <w:sz w:val="11"/>
                <w:szCs w:val="11"/>
                <w:color w:val="auto"/>
              </w:rPr>
            </w:pPr>
          </w:p>
        </w:tc>
        <w:tc>
          <w:tcPr>
            <w:tcW w:w="16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Conservation Buffer</w:t>
            </w:r>
          </w:p>
        </w:tc>
        <w:tc>
          <w:tcPr>
            <w:tcW w:w="0" w:type="dxa"/>
            <w:vAlign w:val="bottom"/>
          </w:tcPr>
          <w:p>
            <w:pPr>
              <w:spacing w:after="0"/>
              <w:rPr>
                <w:sz w:val="1"/>
                <w:szCs w:val="1"/>
                <w:color w:val="auto"/>
              </w:rPr>
            </w:pPr>
          </w:p>
        </w:tc>
      </w:tr>
      <w:tr>
        <w:trPr>
          <w:trHeight w:val="17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capital to risk-weighted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16.48 %</w:t>
            </w:r>
          </w:p>
        </w:tc>
        <w:tc>
          <w:tcPr>
            <w:tcW w:w="8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10.50 %</w:t>
            </w:r>
          </w:p>
        </w:tc>
        <w:tc>
          <w:tcPr>
            <w:tcW w:w="0" w:type="dxa"/>
            <w:vAlign w:val="bottom"/>
          </w:tcPr>
          <w:p>
            <w:pPr>
              <w:spacing w:after="0"/>
              <w:rPr>
                <w:sz w:val="1"/>
                <w:szCs w:val="1"/>
                <w:color w:val="auto"/>
              </w:rPr>
            </w:pPr>
          </w:p>
        </w:tc>
      </w:tr>
      <w:tr>
        <w:trPr>
          <w:trHeight w:val="171"/>
        </w:trPr>
        <w:tc>
          <w:tcPr>
            <w:tcW w:w="8400" w:type="dxa"/>
            <w:vAlign w:val="bottom"/>
            <w:gridSpan w:val="2"/>
          </w:tcPr>
          <w:p>
            <w:pPr>
              <w:ind w:left="20"/>
              <w:spacing w:after="0"/>
              <w:rPr>
                <w:sz w:val="20"/>
                <w:szCs w:val="20"/>
                <w:color w:val="auto"/>
              </w:rPr>
            </w:pPr>
            <w:r>
              <w:rPr>
                <w:rFonts w:ascii="Arial" w:cs="Arial" w:eastAsia="Arial" w:hAnsi="Arial"/>
                <w:sz w:val="12"/>
                <w:szCs w:val="12"/>
                <w:color w:val="auto"/>
              </w:rPr>
              <w:t>Tier 1 capital to risk-weighted assets</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13.88</w:t>
            </w:r>
          </w:p>
        </w:tc>
        <w:tc>
          <w:tcPr>
            <w:tcW w:w="80" w:type="dxa"/>
            <w:vAlign w:val="bottom"/>
          </w:tcPr>
          <w:p>
            <w:pPr>
              <w:spacing w:after="0"/>
              <w:rPr>
                <w:sz w:val="14"/>
                <w:szCs w:val="14"/>
                <w:color w:val="auto"/>
              </w:rPr>
            </w:pPr>
          </w:p>
        </w:tc>
        <w:tc>
          <w:tcPr>
            <w:tcW w:w="2260" w:type="dxa"/>
            <w:vAlign w:val="bottom"/>
          </w:tcPr>
          <w:p>
            <w:pPr>
              <w:jc w:val="right"/>
              <w:ind w:right="106"/>
              <w:spacing w:after="0"/>
              <w:rPr>
                <w:sz w:val="20"/>
                <w:szCs w:val="20"/>
                <w:color w:val="auto"/>
              </w:rPr>
            </w:pPr>
            <w:r>
              <w:rPr>
                <w:rFonts w:ascii="Arial" w:cs="Arial" w:eastAsia="Arial" w:hAnsi="Arial"/>
                <w:sz w:val="12"/>
                <w:szCs w:val="12"/>
                <w:color w:val="auto"/>
              </w:rPr>
              <w:t>8.50</w:t>
            </w:r>
          </w:p>
        </w:tc>
        <w:tc>
          <w:tcPr>
            <w:tcW w:w="0" w:type="dxa"/>
            <w:vAlign w:val="bottom"/>
          </w:tcPr>
          <w:p>
            <w:pPr>
              <w:spacing w:after="0"/>
              <w:rPr>
                <w:sz w:val="1"/>
                <w:szCs w:val="1"/>
                <w:color w:val="auto"/>
              </w:rPr>
            </w:pPr>
          </w:p>
        </w:tc>
      </w:tr>
      <w:tr>
        <w:trPr>
          <w:trHeight w:val="171"/>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Common equity tier 1 capital ratio</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12.94</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73"/>
        </w:trPr>
        <w:tc>
          <w:tcPr>
            <w:tcW w:w="8400" w:type="dxa"/>
            <w:vAlign w:val="bottom"/>
            <w:gridSpan w:val="2"/>
          </w:tcPr>
          <w:p>
            <w:pPr>
              <w:ind w:left="20"/>
              <w:spacing w:after="0"/>
              <w:rPr>
                <w:sz w:val="20"/>
                <w:szCs w:val="20"/>
                <w:color w:val="auto"/>
              </w:rPr>
            </w:pPr>
            <w:r>
              <w:rPr>
                <w:rFonts w:ascii="Arial" w:cs="Arial" w:eastAsia="Arial" w:hAnsi="Arial"/>
                <w:sz w:val="12"/>
                <w:szCs w:val="12"/>
                <w:color w:val="auto"/>
              </w:rPr>
              <w:t>Tier 1 leverage ratio</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11.33</w:t>
            </w:r>
          </w:p>
        </w:tc>
        <w:tc>
          <w:tcPr>
            <w:tcW w:w="80" w:type="dxa"/>
            <w:vAlign w:val="bottom"/>
          </w:tcPr>
          <w:p>
            <w:pPr>
              <w:spacing w:after="0"/>
              <w:rPr>
                <w:sz w:val="15"/>
                <w:szCs w:val="15"/>
                <w:color w:val="auto"/>
              </w:rPr>
            </w:pPr>
          </w:p>
        </w:tc>
        <w:tc>
          <w:tcPr>
            <w:tcW w:w="2260" w:type="dxa"/>
            <w:vAlign w:val="bottom"/>
          </w:tcPr>
          <w:p>
            <w:pPr>
              <w:jc w:val="right"/>
              <w:ind w:right="106"/>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80"/>
        <w:spacing w:after="0" w:line="234" w:lineRule="auto"/>
        <w:rPr>
          <w:sz w:val="20"/>
          <w:szCs w:val="20"/>
          <w:color w:val="auto"/>
        </w:rPr>
      </w:pPr>
      <w:r>
        <w:rPr>
          <w:rFonts w:ascii="Arial" w:cs="Arial" w:eastAsia="Arial" w:hAnsi="Arial"/>
          <w:sz w:val="12"/>
          <w:szCs w:val="12"/>
          <w:color w:val="auto"/>
        </w:rPr>
        <w:t>The ratio of tangible common equity to tangible assets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decreased to 9.56% as of September 30, 2026, from 9.69% as of June 30, 2026, and tangible book value per share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decreased by $0.26 to $17.34 as of September 30, 2026, when compared to June 30, 2026. The decrease in tangible book value per share was</w:t>
      </w:r>
    </w:p>
    <w:p>
      <w:pPr>
        <w:sectPr>
          <w:pgSz w:w="11900" w:h="16838" w:orient="portrait"/>
          <w:cols w:equalWidth="0" w:num="1">
            <w:col w:w="11300"/>
          </w:cols>
          <w:pgMar w:left="300" w:top="135" w:right="299" w:bottom="1440" w:gutter="0" w:footer="0" w:header="0"/>
        </w:sectPr>
      </w:pPr>
    </w:p>
    <w:bookmarkStart w:id="7" w:name="page8"/>
    <w:bookmarkEnd w:id="7"/>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color w:val="auto"/>
        </w:rPr>
        <w:t>primarily driven by a decrease in accumulated other comprehensive income as a result of higher net unrealized losses on available-for-sale debt securities as market interest rates increased during the quarter.</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During the third quarter of 2026, the Company did not repurchase shares of its common stock under its stock repurchase program. The Company is currently subject to a blackout period restricting repurchases of its common stock, which will remain in effect until the conclusion of the TYFG stockholder vote on the proposed merger scheduled for October 29, 2026. The Company’s Board of Directors has authorized the repurchase of up to $30.0 million of HBT Financial common stock under its stock repurchase program, which is in effect until January 1, 2027. As of September 30, 2026, the Company had $14.0 million remaining under the stock repurchase program.</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w:t>
      </w:r>
    </w:p>
    <w:p>
      <w:pPr>
        <w:spacing w:after="0" w:line="3"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See “Reconciliation of Non-GAAP Financial Measures” below for reconciliation of non-GAAP financial measures to their most closely comparable GAAP financial measures.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HBT Financial, Inc.</w:t>
      </w:r>
    </w:p>
    <w:p>
      <w:pPr>
        <w:spacing w:after="0" w:line="150" w:lineRule="exact"/>
        <w:rPr>
          <w:sz w:val="20"/>
          <w:szCs w:val="20"/>
          <w:color w:val="auto"/>
        </w:rPr>
      </w:pPr>
    </w:p>
    <w:p>
      <w:pPr>
        <w:ind w:right="440"/>
        <w:spacing w:after="0" w:line="268" w:lineRule="auto"/>
        <w:rPr>
          <w:sz w:val="20"/>
          <w:szCs w:val="20"/>
          <w:color w:val="auto"/>
        </w:rPr>
      </w:pPr>
      <w:r>
        <w:rPr>
          <w:rFonts w:ascii="Arial" w:cs="Arial" w:eastAsia="Arial" w:hAnsi="Arial"/>
          <w:sz w:val="12"/>
          <w:szCs w:val="12"/>
          <w:color w:val="auto"/>
        </w:rPr>
        <w:t>HBT Financial, Inc., headquartered in Bloomington, Illinois, is the holding company for Heartland Bank and Trust Company, and has banking roots that can be traced back to 1920. HBT Financial provides a comprehensive suite of financial products and services to consumers, businesses, and municipal entities throughout Illinois, eastern Iowa, and suburban St. Louis through 83 full-service branches. As of September 30, 2026, HBT Financial had total assets of $6.7 billion, total loans of $4.8 billion, and total deposits of $5.8 billion.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Some of the financial measures included in this press release are not measures of financial performance recognized in accordance with GAAP. These non-GAAP financial measures include adjusted net income, adjusted earnings per share, adjusted ROAA, pre-provision net revenue, pre-provision net revenue less charge-offs (recoveries), adjusted pre-provision net revenue, adjusted pre-provision net revenue less charge-offs (recoveries), net interest income (tax-equivalent basis), net interest margin (tax-equivalent basis), efficiency ratio (tax-equivalent basis), adjusted efficiency ratio (tax-equivalent basis), the ratio of tangible common equity to tangible assets, tangible book value per share, adjusted ROAE, ROATCE, and adjusted ROATCE. Our management uses these non-GAAP financial measures, together with the related GAAP financial measures, in its analysis of our performance and in making business decisions. Management believes that it is a standard practice in the banking industry to present these non-GAAP financial measures, and accordingly believes that providing these measures may be useful for peer comparison purposes. These disclosures should not be viewed as substitutes for the results determined to be in accordance with GAAP; nor are they necessarily comparable to non-GAAP financial measures that may be presented by other companies. See our reconciliation of non-GAAP financial measures to their most directly comparable GAAP financial measures in the “Reconciliation of Non-GAAP Financial Measures” tables.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Readers should note that in addition to the historical information contained herein, this press release contains, and future oral and written statements of the Company and its management may contain, “forward-looking statements” within the meanings of the Private Securities Litigation Reform Act of 1995, Section 27A of the Securities Act of 1933, as amended, and Section 21E of the Securities Exchange Act of 1934, as amended. Forward-looking statements generally can be identified by the use of forward-looking terminology such as “will,” “propose,” “may,” “plan,” “seek,” “expect,” “intend,” “estimate,” “anticipate,” “believe,” “continue,” or “should,” or similar terminology and the negative forms of such words. Any forward-looking statements presented herein are made only as of the date of this press release, and the Company does not undertake any obligation to update or revise any forward-looking statements to reflect changes in assumptions, the occurrence of unanticipated events, or otherwise.</w:t>
      </w:r>
    </w:p>
    <w:p>
      <w:pPr>
        <w:spacing w:after="0" w:line="119"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Factors that could cause actual results to differ materially from these forward-looking statements include, but are not limited to: (1) the strength of the local, state, national and international economies and financial markets (including effects of inflationary pressures, global energy market conditions, the threat or implementation of tariffs, immigration enforcement and changes in foreign policy); (2) policy changes in, and the interpretation and prioritization of, local, state and federal laws, regulations and governmental policies, including executive orders; (3) the economic impact of any future terrorist threats and attacks, widespread disease or pandemics, acts of</w:t>
      </w:r>
    </w:p>
    <w:p>
      <w:pPr>
        <w:sectPr>
          <w:pgSz w:w="11900" w:h="16838" w:orient="portrait"/>
          <w:cols w:equalWidth="0" w:num="1">
            <w:col w:w="11280"/>
          </w:cols>
          <w:pgMar w:left="300" w:top="135" w:right="319" w:bottom="1440" w:gutter="0" w:footer="0" w:header="0"/>
        </w:sectPr>
      </w:pPr>
    </w:p>
    <w:bookmarkStart w:id="8" w:name="page9"/>
    <w:bookmarkEnd w:id="8"/>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6</w:t>
      </w:r>
    </w:p>
    <w:p>
      <w:pPr>
        <w:spacing w:after="0" w:line="200" w:lineRule="exact"/>
        <w:rPr>
          <w:sz w:val="20"/>
          <w:szCs w:val="20"/>
          <w:color w:val="auto"/>
        </w:rPr>
      </w:pPr>
    </w:p>
    <w:p>
      <w:pPr>
        <w:spacing w:after="0" w:line="236"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war or other threats thereof (including the Russian invasion of Ukraine, ongoing conflicts in the Middle East, and other international military conflicts that can increase levels of political and economic unpredictability, contribute to rising energy and commodity prices, affect global supply chains, increase the volatility of financial markets, and other matters beyond our control), and the response of the local, state and national governments to any such adverse external events; (4) new and revised accounting policies and practices, as may be adopted by state and federal regulatory banking agencies, the Financial Accounting Standards Board or the Public Company Accounting Oversight Board; (5) the imposition of tariffs or other governmental policies impacting the value of products produced by the Company's commercial borrowers; (6) changes in interest rates, including as a result of the recent increase in the benchmark federal funds rate by the Federal Reserve, and prepayment rates of the Company’s assets; (7) increased competition in the financial services sector, including from non-bank competitors such as credit unions, private credit firms, fintech companies, and digital asset service providers, and the inability to attract new customers; (8) technological changes implemented by us and other parties, including our third-party vendors, which may have unforeseen consequences to us and our customers; (9) emerging issues related to the development and use of artificial intelligence that could give rise to legal or regulatory action, damage our reputation or otherwise materially harm our business or customers; (10) unexpected results of acquisitions, which may include failure to realize the anticipated benefits of acquisitions and the possibility that transaction costs may be greater than anticipated, including the acquisition of CNB; (11) the loss of key executives and employees, talent shortages and employee turnover; (12) changes in consumer spending; (13) unexpected outcomes or costs of existing or new litigation or other legal proceedings and regulatory actions involving the Company; (14) the economic impact on the Company and its customers of climate change, natural disasters and of exceptional weather occurrences such as tornadoes, floods and blizzards; (15) fluctuations in the value of securities held in our securities portfolio, including as a result of changes in interest rates; (16) credit risks and risks from concentrations (by type of borrower, geographic area, collateral and industry) within our loan portfolio (including commercial real estate loans) and large loans to certain borrowers; (17) the overall health of the local and national real estate market; (18) the ability to maintain an adequate level of allowance for credit losses on loans; (19) the concentration of large deposits from certain clients who have balances above current FDIC insurance limits and who may withdraw deposits to diversify their exposure; (20) the availability of future equity and debt issuances and other capital raising opportunities on favorable terms; (21) the ability to successfully manage liquidity risk, which may increase dependence on non-core funding sources such as brokered deposits, and may negatively impact the Company’s cost of funds; (22) the level of nonperforming assets on our balance sheet; (23) interruptions involving our information technology and communications systems or those of our third-party servicers; (24) the occurrence of fraudulent activity, breaches or failures of our third-party vendors’ information security controls or cybersecurity-related incidents, including as a result of sophisticated attacks using artificial intelligence and similar tools or as a result of insider fraud; (25) the effectiveness of the Company’s risk management framework; (26) the possibility that stockholders of TYFG may not approve the merger agreement; (27) the risk that a condition to closing of the proposed transaction may not be satisfied, that either party may terminate the merger agreement or that the closing of the proposed transaction might be delayed or not occur at all; (28) potential adverse reactions or changes to business or employee relationships, including those resulting from the announcement or completion of the proposed transaction; (29) the diversion of management time on transaction-related issues; (30) the ultimate timing, outcome and results of integrating the operations of TYFG into those of HBT; (31) the effects of the merger in HBT’s future financial condition, results of operations, strategy and plans; (32) regulatory approvals of the transaction; and (33) the ability of the Company to manage the risks associated with the foregoing as well as anticipated.</w:t>
      </w:r>
    </w:p>
    <w:p>
      <w:pPr>
        <w:spacing w:after="0" w:line="124"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Readers should note that the forward-looking statements included in this press release are not a guarantee of future events, and that actual events may differ materially from those made in or suggested by the forward-looking statements. Additional information concerning the Company and its business, including additional factors that could materially affect the Company’s financial results, is included in the Company’s filings with the Securities and Exchange Commission.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Important Information and Where to Find It</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In connection with the proposed Tri-County transaction, HBT Financial has filed and will file materials with the SEC, including a Registration Statement on Form S-4 of HBT Financial that included a proxy statement of Tri-County and a prospectus of HBT Financial. The Registration Statement has been declared effective by the SEC, and on or about September 18, 2026, HBT Financial and Tri-County mailed a definitive proxy statement/prospectus to the stockholders of Tri-County in connection with its special meeting of stockholders to be held on</w:t>
      </w:r>
    </w:p>
    <w:p>
      <w:pPr>
        <w:sectPr>
          <w:pgSz w:w="11900" w:h="16838" w:orient="portrait"/>
          <w:cols w:equalWidth="0" w:num="1">
            <w:col w:w="11280"/>
          </w:cols>
          <w:pgMar w:left="300" w:top="135" w:right="319" w:bottom="1440" w:gutter="0" w:footer="0" w:header="0"/>
        </w:sectPr>
      </w:pPr>
    </w:p>
    <w:bookmarkStart w:id="9" w:name="page10"/>
    <w:bookmarkEnd w:id="9"/>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7</w:t>
      </w:r>
    </w:p>
    <w:p>
      <w:pPr>
        <w:spacing w:after="0" w:line="200" w:lineRule="exact"/>
        <w:rPr>
          <w:sz w:val="20"/>
          <w:szCs w:val="20"/>
          <w:color w:val="auto"/>
        </w:rPr>
      </w:pPr>
    </w:p>
    <w:p>
      <w:pPr>
        <w:spacing w:after="0" w:line="236" w:lineRule="exact"/>
        <w:rPr>
          <w:sz w:val="20"/>
          <w:szCs w:val="20"/>
          <w:color w:val="auto"/>
        </w:rPr>
      </w:pPr>
    </w:p>
    <w:p>
      <w:pPr>
        <w:ind w:right="200"/>
        <w:spacing w:after="0" w:line="259" w:lineRule="auto"/>
        <w:rPr>
          <w:sz w:val="20"/>
          <w:szCs w:val="20"/>
          <w:color w:val="auto"/>
        </w:rPr>
      </w:pPr>
      <w:r>
        <w:rPr>
          <w:rFonts w:ascii="Arial" w:cs="Arial" w:eastAsia="Arial" w:hAnsi="Arial"/>
          <w:sz w:val="12"/>
          <w:szCs w:val="12"/>
          <w:color w:val="auto"/>
        </w:rPr>
        <w:t>October 29, 2026. This news release is not a substitute for the proxy statement/prospectus or the Registration Statement or for any other document that HBT Financial and Tri-County may file with the SEC and send to Tri-County’s stockholders in connection with the proposed transaction. TRI-COUNTY’S STOCKHOLDERS ARE URGED TO CAREFULLY AND THOROUGHLY READ THE PROXY STATEMENT/PROSPECTUS AND THE REGISTRATION STATEMENT, AS MAY BE AMENDED OR SUPPLEMENTED FROM TIME TO TIME, AND OTHER RELEVANT DOCUMENTS FILED BY HBT FINANCIAL AND TRI-COUNTY WITH THE SEC, BECAUSE THEY CONTAIN IMPORTANT INFORMATION ABOUT HBT FINANCIAL, TRI-COUNTY, THE PROPOSED TRANSACTION, THE RISKS RELATED THERETO AND RELATED MATTERS.</w:t>
      </w:r>
    </w:p>
    <w:p>
      <w:pPr>
        <w:spacing w:after="0" w:line="119"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Investors may obtain free copies of the Registration Statement and the definitive proxy statement/prospectus, as each may be amended from time to time, and other relevant documents filed by HBT Financial and Tri-County with the SEC (when they become available), through the website maintained by the SEC at www.sec.gov. Copies of documents filed with the SEC by HBT Financial are available free of charge from HBT Financial’s website at https://ir.hbtfinancial.com or by contacting HBT Financial’s Investor Relations Department at HBTIR@hbtbank.com. Copies of documents filed with the SEC by Tri-County are not available on Tri-County’s website, but will be provided free of charge upon request. To request such documents, please call (815) 538-2265.</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the Proxy Solicitation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HBT Financial, Tri-County and their respective directors and certain of their executive officers and other members of management and employees may be deemed, under SEC rules, to be participants in the</w:t>
      </w:r>
    </w:p>
    <w:p>
      <w:pPr>
        <w:spacing w:after="0" w:line="33"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solicitation of proxies from Tri-County’s stockholders in connection with the proposed transaction. Information regarding the executive officers and directors of HBT Financial is included in its definitive proxy statement for its 2026 annual meeting filed with the SEC on April 8, 2026. Information regarding the executive officers and directors of Tri-County and additional information regarding the persons who may be deemed participants and their direct and indirect interests, by security holdings or otherwise, is set forth in the Registration Statement and definitive proxy statement/prospectus filed, and other materials when they are filed, with the SEC in connection with the proposed transaction. Free copies of these documents may be obtained as described in the paragraphs above.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Offer or Solicitation</w:t>
      </w:r>
    </w:p>
    <w:p>
      <w:pPr>
        <w:spacing w:after="0" w:line="150" w:lineRule="exact"/>
        <w:rPr>
          <w:sz w:val="20"/>
          <w:szCs w:val="20"/>
          <w:color w:val="auto"/>
        </w:rPr>
      </w:pPr>
    </w:p>
    <w:p>
      <w:pPr>
        <w:ind w:right="380"/>
        <w:spacing w:after="0" w:line="268" w:lineRule="auto"/>
        <w:rPr>
          <w:sz w:val="20"/>
          <w:szCs w:val="20"/>
          <w:color w:val="auto"/>
        </w:rPr>
      </w:pPr>
      <w:r>
        <w:rPr>
          <w:rFonts w:ascii="Arial" w:cs="Arial" w:eastAsia="Arial" w:hAnsi="Arial"/>
          <w:sz w:val="12"/>
          <w:szCs w:val="12"/>
          <w:color w:val="auto"/>
        </w:rPr>
        <w:t>Communications in this news release do not constitute an offer to sell or the solicitation of an offer to subscribe for or buy any securities or a solicitation of any vote or approval with respect to the proposed transaction or otherwise, nor shall there be any sale, issuance or transfer of securities in any jurisdiction in which such offer, solicitation or sale would be unlawful prior to registration or qualification under the securities laws of any such jurisdiction.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Peter Chapman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HBTIR@hbtbank.com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(309) 664-4556</w:t>
      </w:r>
    </w:p>
    <w:p>
      <w:pPr>
        <w:sectPr>
          <w:pgSz w:w="11900" w:h="16838" w:orient="portrait"/>
          <w:cols w:equalWidth="0" w:num="1">
            <w:col w:w="11280"/>
          </w:cols>
          <w:pgMar w:left="300" w:top="135" w:right="319" w:bottom="1440" w:gutter="0" w:footer="0" w:header="0"/>
        </w:sectPr>
      </w:pPr>
    </w:p>
    <w:bookmarkStart w:id="10" w:name="page11"/>
    <w:bookmarkEnd w:id="10"/>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8</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39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8"/>
                <w:szCs w:val="8"/>
                <w:b w:val="1"/>
                <w:bCs w:val="1"/>
                <w:color w:val="auto"/>
              </w:rPr>
              <w:t>As of or for the Three Months Ended</w:t>
            </w: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8"/>
                <w:szCs w:val="8"/>
                <w:b w:val="1"/>
                <w:bCs w:val="1"/>
                <w:color w:val="auto"/>
              </w:rPr>
              <w:t>Nine Months Ended September 30,</w:t>
            </w:r>
          </w:p>
        </w:tc>
        <w:tc>
          <w:tcPr>
            <w:tcW w:w="0" w:type="dxa"/>
            <w:vAlign w:val="bottom"/>
          </w:tcPr>
          <w:p>
            <w:pPr>
              <w:spacing w:after="0"/>
              <w:rPr>
                <w:sz w:val="1"/>
                <w:szCs w:val="1"/>
                <w:color w:val="auto"/>
              </w:rPr>
            </w:pPr>
          </w:p>
        </w:tc>
      </w:tr>
      <w:tr>
        <w:trPr>
          <w:trHeight w:val="73"/>
        </w:trPr>
        <w:tc>
          <w:tcPr>
            <w:tcW w:w="3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jc w:val="right"/>
              <w:ind w:right="358"/>
              <w:spacing w:after="0" w:line="73" w:lineRule="exact"/>
              <w:rPr>
                <w:sz w:val="20"/>
                <w:szCs w:val="20"/>
                <w:color w:val="auto"/>
              </w:rPr>
            </w:pPr>
            <w:r>
              <w:rPr>
                <w:rFonts w:ascii="Arial" w:cs="Arial" w:eastAsia="Arial" w:hAnsi="Arial"/>
                <w:sz w:val="8"/>
                <w:szCs w:val="8"/>
                <w:b w:val="1"/>
                <w:bCs w:val="1"/>
                <w:color w:val="auto"/>
              </w:rPr>
              <w:t>September 30,</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gridSpan w:val="2"/>
          </w:tcPr>
          <w:p>
            <w:pPr>
              <w:jc w:val="center"/>
              <w:ind w:right="360"/>
              <w:spacing w:after="0" w:line="73" w:lineRule="exact"/>
              <w:rPr>
                <w:sz w:val="20"/>
                <w:szCs w:val="20"/>
                <w:color w:val="auto"/>
              </w:rPr>
            </w:pPr>
            <w:r>
              <w:rPr>
                <w:rFonts w:ascii="Arial" w:cs="Arial" w:eastAsia="Arial" w:hAnsi="Arial"/>
                <w:sz w:val="8"/>
                <w:szCs w:val="8"/>
                <w:b w:val="1"/>
                <w:bCs w:val="1"/>
                <w:color w:val="auto"/>
              </w:rPr>
              <w:t>June 30,</w:t>
            </w:r>
          </w:p>
        </w:tc>
        <w:tc>
          <w:tcPr>
            <w:tcW w:w="240" w:type="dxa"/>
            <w:vAlign w:val="bottom"/>
          </w:tcPr>
          <w:p>
            <w:pPr>
              <w:spacing w:after="0"/>
              <w:rPr>
                <w:sz w:val="6"/>
                <w:szCs w:val="6"/>
                <w:color w:val="auto"/>
              </w:rPr>
            </w:pPr>
          </w:p>
        </w:tc>
        <w:tc>
          <w:tcPr>
            <w:tcW w:w="1160" w:type="dxa"/>
            <w:vAlign w:val="bottom"/>
          </w:tcPr>
          <w:p>
            <w:pPr>
              <w:jc w:val="right"/>
              <w:ind w:right="358"/>
              <w:spacing w:after="0" w:line="73" w:lineRule="exact"/>
              <w:rPr>
                <w:sz w:val="20"/>
                <w:szCs w:val="20"/>
                <w:color w:val="auto"/>
              </w:rPr>
            </w:pPr>
            <w:r>
              <w:rPr>
                <w:rFonts w:ascii="Arial" w:cs="Arial" w:eastAsia="Arial" w:hAnsi="Arial"/>
                <w:sz w:val="8"/>
                <w:szCs w:val="8"/>
                <w:b w:val="1"/>
                <w:bCs w:val="1"/>
                <w:color w:val="auto"/>
              </w:rPr>
              <w:t>September 30,</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vMerge w:val="restart"/>
          </w:tcPr>
          <w:p>
            <w:pPr>
              <w:jc w:val="right"/>
              <w:ind w:right="578"/>
              <w:spacing w:after="0"/>
              <w:rPr>
                <w:sz w:val="20"/>
                <w:szCs w:val="20"/>
                <w:color w:val="auto"/>
              </w:rPr>
            </w:pPr>
            <w:r>
              <w:rPr>
                <w:rFonts w:ascii="Arial" w:cs="Arial" w:eastAsia="Arial" w:hAnsi="Arial"/>
                <w:sz w:val="8"/>
                <w:szCs w:val="8"/>
                <w:b w:val="1"/>
                <w:bCs w:val="1"/>
                <w:color w:val="auto"/>
              </w:rPr>
              <w:t>2026</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578"/>
              <w:spacing w:after="0"/>
              <w:rPr>
                <w:sz w:val="20"/>
                <w:szCs w:val="20"/>
                <w:color w:val="auto"/>
              </w:rPr>
            </w:pPr>
            <w:r>
              <w:rPr>
                <w:rFonts w:ascii="Arial" w:cs="Arial" w:eastAsia="Arial" w:hAnsi="Arial"/>
                <w:sz w:val="8"/>
                <w:szCs w:val="8"/>
                <w:b w:val="1"/>
                <w:bCs w:val="1"/>
                <w:color w:val="auto"/>
              </w:rPr>
              <w:t>2025</w:t>
            </w:r>
          </w:p>
        </w:tc>
        <w:tc>
          <w:tcPr>
            <w:tcW w:w="0" w:type="dxa"/>
            <w:vAlign w:val="bottom"/>
          </w:tcPr>
          <w:p>
            <w:pPr>
              <w:spacing w:after="0"/>
              <w:rPr>
                <w:sz w:val="1"/>
                <w:szCs w:val="1"/>
                <w:color w:val="auto"/>
              </w:rPr>
            </w:pPr>
          </w:p>
        </w:tc>
      </w:tr>
      <w:tr>
        <w:trPr>
          <w:trHeight w:val="123"/>
        </w:trPr>
        <w:tc>
          <w:tcPr>
            <w:tcW w:w="3960" w:type="dxa"/>
            <w:vAlign w:val="bottom"/>
            <w:tcBorders>
              <w:bottom w:val="single" w:sz="8" w:color="CCEEFF"/>
            </w:tcBorders>
          </w:tcPr>
          <w:p>
            <w:pPr>
              <w:spacing w:after="0"/>
              <w:rPr>
                <w:sz w:val="20"/>
                <w:szCs w:val="20"/>
                <w:color w:val="auto"/>
              </w:rPr>
            </w:pPr>
            <w:r>
              <w:rPr>
                <w:rFonts w:ascii="Arial" w:cs="Arial" w:eastAsia="Arial" w:hAnsi="Arial"/>
                <w:sz w:val="8"/>
                <w:szCs w:val="8"/>
                <w:i w:val="1"/>
                <w:iCs w:val="1"/>
                <w:color w:val="auto"/>
              </w:rPr>
              <w:t>(dollars in thousands, except per share data)</w:t>
            </w: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8"/>
                <w:szCs w:val="8"/>
                <w:b w:val="1"/>
                <w:bCs w:val="1"/>
                <w:color w:val="auto"/>
              </w:rPr>
              <w:t>2026</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238"/>
              <w:spacing w:after="0"/>
              <w:rPr>
                <w:sz w:val="20"/>
                <w:szCs w:val="20"/>
                <w:color w:val="auto"/>
              </w:rPr>
            </w:pPr>
            <w:r>
              <w:rPr>
                <w:rFonts w:ascii="Arial" w:cs="Arial" w:eastAsia="Arial" w:hAnsi="Arial"/>
                <w:sz w:val="8"/>
                <w:szCs w:val="8"/>
                <w:b w:val="1"/>
                <w:bCs w:val="1"/>
                <w:color w:val="auto"/>
              </w:rPr>
              <w:t>2026</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8"/>
                <w:szCs w:val="8"/>
                <w:b w:val="1"/>
                <w:bCs w:val="1"/>
                <w:color w:val="auto"/>
              </w:rPr>
              <w:t>2025</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Interest and dividend income</w:t>
            </w: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90,662</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198"/>
              <w:spacing w:after="0"/>
              <w:rPr>
                <w:sz w:val="20"/>
                <w:szCs w:val="20"/>
                <w:color w:val="auto"/>
              </w:rPr>
            </w:pPr>
            <w:r>
              <w:rPr>
                <w:rFonts w:ascii="Arial" w:cs="Arial" w:eastAsia="Arial" w:hAnsi="Arial"/>
                <w:sz w:val="8"/>
                <w:szCs w:val="8"/>
                <w:color w:val="auto"/>
                <w:w w:val="88"/>
              </w:rPr>
              <w:t>$</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88,583</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64,336</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w w:val="88"/>
              </w:rPr>
              <w:t>$</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251,084</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191,393</w:t>
            </w:r>
          </w:p>
        </w:tc>
        <w:tc>
          <w:tcPr>
            <w:tcW w:w="0" w:type="dxa"/>
            <w:vAlign w:val="bottom"/>
          </w:tcPr>
          <w:p>
            <w:pPr>
              <w:spacing w:after="0"/>
              <w:rPr>
                <w:sz w:val="1"/>
                <w:szCs w:val="1"/>
                <w:color w:val="auto"/>
              </w:rPr>
            </w:pPr>
          </w:p>
        </w:tc>
      </w:tr>
      <w:tr>
        <w:trPr>
          <w:trHeight w:val="113"/>
        </w:trPr>
        <w:tc>
          <w:tcPr>
            <w:tcW w:w="396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Interest expense</w:t>
            </w: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20,341</w:t>
            </w: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19,527</w:t>
            </w:r>
          </w:p>
        </w:tc>
        <w:tc>
          <w:tcPr>
            <w:tcW w:w="8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14,350</w:t>
            </w: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55,320</w:t>
            </w:r>
          </w:p>
        </w:tc>
        <w:tc>
          <w:tcPr>
            <w:tcW w:w="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43,041</w:t>
            </w:r>
          </w:p>
        </w:tc>
        <w:tc>
          <w:tcPr>
            <w:tcW w:w="0" w:type="dxa"/>
            <w:vAlign w:val="bottom"/>
          </w:tcPr>
          <w:p>
            <w:pPr>
              <w:spacing w:after="0"/>
              <w:rPr>
                <w:sz w:val="1"/>
                <w:szCs w:val="1"/>
                <w:color w:val="auto"/>
              </w:rPr>
            </w:pPr>
          </w:p>
        </w:tc>
      </w:tr>
      <w:tr>
        <w:trPr>
          <w:trHeight w:val="110"/>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Net interest income</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70,321</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69,056</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49,986</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195,764</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148,352</w:t>
            </w:r>
          </w:p>
        </w:tc>
        <w:tc>
          <w:tcPr>
            <w:tcW w:w="0" w:type="dxa"/>
            <w:vAlign w:val="bottom"/>
          </w:tcPr>
          <w:p>
            <w:pPr>
              <w:spacing w:after="0"/>
              <w:rPr>
                <w:sz w:val="1"/>
                <w:szCs w:val="1"/>
                <w:color w:val="auto"/>
              </w:rPr>
            </w:pPr>
          </w:p>
        </w:tc>
      </w:tr>
      <w:tr>
        <w:trPr>
          <w:trHeight w:val="113"/>
        </w:trPr>
        <w:tc>
          <w:tcPr>
            <w:tcW w:w="396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Provision for credit losses</w:t>
            </w: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(561)</w:t>
            </w: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676</w:t>
            </w:r>
          </w:p>
        </w:tc>
        <w:tc>
          <w:tcPr>
            <w:tcW w:w="8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596</w:t>
            </w: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(41)</w:t>
            </w:r>
          </w:p>
        </w:tc>
        <w:tc>
          <w:tcPr>
            <w:tcW w:w="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1,698</w:t>
            </w:r>
          </w:p>
        </w:tc>
        <w:tc>
          <w:tcPr>
            <w:tcW w:w="0" w:type="dxa"/>
            <w:vAlign w:val="bottom"/>
          </w:tcPr>
          <w:p>
            <w:pPr>
              <w:spacing w:after="0"/>
              <w:rPr>
                <w:sz w:val="1"/>
                <w:szCs w:val="1"/>
                <w:color w:val="auto"/>
              </w:rPr>
            </w:pPr>
          </w:p>
        </w:tc>
      </w:tr>
      <w:tr>
        <w:trPr>
          <w:trHeight w:val="110"/>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Net interest income after provision for credit losses</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70,882</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68,380</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49,390</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195,805</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146,654</w:t>
            </w: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Noninterest income</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14,237</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11,841</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9,849</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37,022</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28,295</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Noninterest expense</w:t>
            </w:r>
          </w:p>
        </w:tc>
        <w:tc>
          <w:tcPr>
            <w:tcW w:w="24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42,663</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42,446</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32,508</w:t>
            </w:r>
          </w:p>
        </w:tc>
        <w:tc>
          <w:tcPr>
            <w:tcW w:w="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137,546</w:t>
            </w:r>
          </w:p>
        </w:tc>
        <w:tc>
          <w:tcPr>
            <w:tcW w:w="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96,357</w:t>
            </w:r>
          </w:p>
        </w:tc>
        <w:tc>
          <w:tcPr>
            <w:tcW w:w="0" w:type="dxa"/>
            <w:vAlign w:val="bottom"/>
          </w:tcPr>
          <w:p>
            <w:pPr>
              <w:spacing w:after="0"/>
              <w:rPr>
                <w:sz w:val="1"/>
                <w:szCs w:val="1"/>
                <w:color w:val="auto"/>
              </w:rPr>
            </w:pPr>
          </w:p>
        </w:tc>
      </w:tr>
      <w:tr>
        <w:trPr>
          <w:trHeight w:val="102"/>
        </w:trPr>
        <w:tc>
          <w:tcPr>
            <w:tcW w:w="3960" w:type="dxa"/>
            <w:vAlign w:val="bottom"/>
          </w:tcPr>
          <w:p>
            <w:pPr>
              <w:spacing w:after="0"/>
              <w:rPr>
                <w:sz w:val="20"/>
                <w:szCs w:val="20"/>
                <w:color w:val="auto"/>
              </w:rPr>
            </w:pPr>
            <w:r>
              <w:rPr>
                <w:rFonts w:ascii="Arial" w:cs="Arial" w:eastAsia="Arial" w:hAnsi="Arial"/>
                <w:sz w:val="8"/>
                <w:szCs w:val="8"/>
                <w:color w:val="auto"/>
              </w:rPr>
              <w:t>Income before income tax expense</w:t>
            </w:r>
          </w:p>
        </w:tc>
        <w:tc>
          <w:tcPr>
            <w:tcW w:w="240" w:type="dxa"/>
            <w:vAlign w:val="bottom"/>
          </w:tcPr>
          <w:p>
            <w:pPr>
              <w:spacing w:after="0"/>
              <w:rPr>
                <w:sz w:val="8"/>
                <w:szCs w:val="8"/>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42,456</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37,775</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26,731</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95,281</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78,592</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Income tax expense</w:t>
            </w:r>
          </w:p>
        </w:tc>
        <w:tc>
          <w:tcPr>
            <w:tcW w:w="24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11,064</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9,931</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6,966</w:t>
            </w:r>
          </w:p>
        </w:tc>
        <w:tc>
          <w:tcPr>
            <w:tcW w:w="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24,845</w:t>
            </w:r>
          </w:p>
        </w:tc>
        <w:tc>
          <w:tcPr>
            <w:tcW w:w="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20,522</w:t>
            </w:r>
          </w:p>
        </w:tc>
        <w:tc>
          <w:tcPr>
            <w:tcW w:w="0" w:type="dxa"/>
            <w:vAlign w:val="bottom"/>
          </w:tcPr>
          <w:p>
            <w:pPr>
              <w:spacing w:after="0"/>
              <w:rPr>
                <w:sz w:val="1"/>
                <w:szCs w:val="1"/>
                <w:color w:val="auto"/>
              </w:rPr>
            </w:pPr>
          </w:p>
        </w:tc>
      </w:tr>
      <w:tr>
        <w:trPr>
          <w:trHeight w:val="122"/>
        </w:trPr>
        <w:tc>
          <w:tcPr>
            <w:tcW w:w="396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Net income</w:t>
            </w:r>
          </w:p>
        </w:tc>
        <w:tc>
          <w:tcPr>
            <w:tcW w:w="24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31,392</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color w:val="auto"/>
                <w:w w:val="88"/>
              </w:rPr>
              <w:t>$</w:t>
            </w: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27,844</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19,765</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color w:val="auto"/>
                <w:w w:val="88"/>
              </w:rPr>
              <w:t>$</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70,436</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w w:val="88"/>
              </w:rPr>
              <w:t>$</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58,070</w:t>
            </w: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Earnings per share - diluted</w:t>
            </w: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0.86</w:t>
            </w:r>
          </w:p>
        </w:tc>
        <w:tc>
          <w:tcPr>
            <w:tcW w:w="380" w:type="dxa"/>
            <w:vAlign w:val="bottom"/>
            <w:gridSpan w:val="2"/>
          </w:tcPr>
          <w:p>
            <w:pPr>
              <w:jc w:val="right"/>
              <w:ind w:right="198"/>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0.76</w:t>
            </w:r>
          </w:p>
        </w:tc>
        <w:tc>
          <w:tcPr>
            <w:tcW w:w="80" w:type="dxa"/>
            <w:vAlign w:val="bottom"/>
          </w:tcPr>
          <w:p>
            <w:pPr>
              <w:spacing w:after="0"/>
              <w:rPr>
                <w:sz w:val="9"/>
                <w:szCs w:val="9"/>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0.63</w:t>
            </w:r>
          </w:p>
        </w:tc>
        <w:tc>
          <w:tcPr>
            <w:tcW w:w="80" w:type="dxa"/>
            <w:vAlign w:val="bottom"/>
          </w:tcPr>
          <w:p>
            <w:pPr>
              <w:spacing w:after="0"/>
              <w:rPr>
                <w:sz w:val="9"/>
                <w:szCs w:val="9"/>
                <w:color w:val="auto"/>
              </w:rPr>
            </w:pPr>
          </w:p>
        </w:tc>
        <w:tc>
          <w:tcPr>
            <w:tcW w:w="340" w:type="dxa"/>
            <w:vAlign w:val="bottom"/>
          </w:tcPr>
          <w:p>
            <w:pPr>
              <w:jc w:val="right"/>
              <w:ind w:right="238"/>
              <w:spacing w:after="0"/>
              <w:rPr>
                <w:sz w:val="20"/>
                <w:szCs w:val="20"/>
                <w:color w:val="auto"/>
              </w:rPr>
            </w:pPr>
            <w:r>
              <w:rPr>
                <w:rFonts w:ascii="Arial" w:cs="Arial" w:eastAsia="Arial" w:hAnsi="Arial"/>
                <w:sz w:val="8"/>
                <w:szCs w:val="8"/>
                <w:color w:val="auto"/>
                <w:w w:val="88"/>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1.99</w:t>
            </w:r>
          </w:p>
        </w:tc>
        <w:tc>
          <w:tcPr>
            <w:tcW w:w="80" w:type="dxa"/>
            <w:vAlign w:val="bottom"/>
          </w:tcPr>
          <w:p>
            <w:pPr>
              <w:spacing w:after="0"/>
              <w:rPr>
                <w:sz w:val="9"/>
                <w:szCs w:val="9"/>
                <w:color w:val="auto"/>
              </w:rPr>
            </w:pPr>
          </w:p>
        </w:tc>
        <w:tc>
          <w:tcPr>
            <w:tcW w:w="320" w:type="dxa"/>
            <w:vAlign w:val="bottom"/>
          </w:tcPr>
          <w:p>
            <w:pPr>
              <w:jc w:val="right"/>
              <w:ind w:right="218"/>
              <w:spacing w:after="0"/>
              <w:rPr>
                <w:sz w:val="20"/>
                <w:szCs w:val="20"/>
                <w:color w:val="auto"/>
              </w:rPr>
            </w:pPr>
            <w:r>
              <w:rPr>
                <w:rFonts w:ascii="Arial" w:cs="Arial" w:eastAsia="Arial" w:hAnsi="Arial"/>
                <w:sz w:val="8"/>
                <w:szCs w:val="8"/>
                <w:color w:val="auto"/>
                <w:w w:val="88"/>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1.84</w:t>
            </w:r>
          </w:p>
        </w:tc>
        <w:tc>
          <w:tcPr>
            <w:tcW w:w="0" w:type="dxa"/>
            <w:vAlign w:val="bottom"/>
          </w:tcPr>
          <w:p>
            <w:pPr>
              <w:spacing w:after="0"/>
              <w:rPr>
                <w:sz w:val="1"/>
                <w:szCs w:val="1"/>
                <w:color w:val="auto"/>
              </w:rPr>
            </w:pPr>
          </w:p>
        </w:tc>
      </w:tr>
      <w:tr>
        <w:trPr>
          <w:trHeight w:val="139"/>
        </w:trPr>
        <w:tc>
          <w:tcPr>
            <w:tcW w:w="3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20"/>
                <w:szCs w:val="20"/>
                <w:color w:val="auto"/>
              </w:rPr>
            </w:pPr>
            <w:r>
              <w:rPr>
                <w:rFonts w:ascii="Arial" w:cs="Arial" w:eastAsia="Arial" w:hAnsi="Arial"/>
                <w:sz w:val="8"/>
                <w:szCs w:val="8"/>
                <w:color w:val="auto"/>
              </w:rPr>
              <w:t xml:space="preserve">Adjusted net income </w:t>
            </w:r>
            <w:r>
              <w:rPr>
                <w:rFonts w:ascii="Arial" w:cs="Arial" w:eastAsia="Arial" w:hAnsi="Arial"/>
                <w:sz w:val="10"/>
                <w:szCs w:val="10"/>
                <w:color w:val="auto"/>
                <w:vertAlign w:val="superscript"/>
              </w:rPr>
              <w:t>(1)</w:t>
            </w: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31,411</w:t>
            </w:r>
          </w:p>
        </w:tc>
        <w:tc>
          <w:tcPr>
            <w:tcW w:w="380" w:type="dxa"/>
            <w:vAlign w:val="bottom"/>
            <w:gridSpan w:val="2"/>
          </w:tcPr>
          <w:p>
            <w:pPr>
              <w:jc w:val="right"/>
              <w:ind w:right="198"/>
              <w:spacing w:after="0"/>
              <w:rPr>
                <w:sz w:val="20"/>
                <w:szCs w:val="20"/>
                <w:color w:val="auto"/>
              </w:rPr>
            </w:pPr>
            <w:r>
              <w:rPr>
                <w:rFonts w:ascii="Arial" w:cs="Arial" w:eastAsia="Arial" w:hAnsi="Arial"/>
                <w:sz w:val="8"/>
                <w:szCs w:val="8"/>
                <w:color w:val="auto"/>
              </w:rPr>
              <w:t>$</w:t>
            </w: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28,535</w:t>
            </w:r>
          </w:p>
        </w:tc>
        <w:tc>
          <w:tcPr>
            <w:tcW w:w="80" w:type="dxa"/>
            <w:vAlign w:val="bottom"/>
          </w:tcPr>
          <w:p>
            <w:pPr>
              <w:spacing w:after="0"/>
              <w:rPr>
                <w:sz w:val="10"/>
                <w:szCs w:val="10"/>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20,452</w:t>
            </w:r>
          </w:p>
        </w:tc>
        <w:tc>
          <w:tcPr>
            <w:tcW w:w="80" w:type="dxa"/>
            <w:vAlign w:val="bottom"/>
          </w:tcPr>
          <w:p>
            <w:pPr>
              <w:spacing w:after="0"/>
              <w:rPr>
                <w:sz w:val="10"/>
                <w:szCs w:val="10"/>
                <w:color w:val="auto"/>
              </w:rPr>
            </w:pPr>
          </w:p>
        </w:tc>
        <w:tc>
          <w:tcPr>
            <w:tcW w:w="340" w:type="dxa"/>
            <w:vAlign w:val="bottom"/>
          </w:tcPr>
          <w:p>
            <w:pPr>
              <w:jc w:val="right"/>
              <w:ind w:right="238"/>
              <w:spacing w:after="0"/>
              <w:rPr>
                <w:sz w:val="20"/>
                <w:szCs w:val="20"/>
                <w:color w:val="auto"/>
              </w:rPr>
            </w:pPr>
            <w:r>
              <w:rPr>
                <w:rFonts w:ascii="Arial" w:cs="Arial" w:eastAsia="Arial" w:hAnsi="Arial"/>
                <w:sz w:val="8"/>
                <w:szCs w:val="8"/>
                <w:color w:val="auto"/>
                <w:w w:val="88"/>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82,556</w:t>
            </w:r>
          </w:p>
        </w:tc>
        <w:tc>
          <w:tcPr>
            <w:tcW w:w="80" w:type="dxa"/>
            <w:vAlign w:val="bottom"/>
          </w:tcPr>
          <w:p>
            <w:pPr>
              <w:spacing w:after="0"/>
              <w:rPr>
                <w:sz w:val="10"/>
                <w:szCs w:val="10"/>
                <w:color w:val="auto"/>
              </w:rPr>
            </w:pPr>
          </w:p>
        </w:tc>
        <w:tc>
          <w:tcPr>
            <w:tcW w:w="320" w:type="dxa"/>
            <w:vAlign w:val="bottom"/>
          </w:tcPr>
          <w:p>
            <w:pPr>
              <w:jc w:val="right"/>
              <w:ind w:right="218"/>
              <w:spacing w:after="0"/>
              <w:rPr>
                <w:sz w:val="20"/>
                <w:szCs w:val="20"/>
                <w:color w:val="auto"/>
              </w:rPr>
            </w:pPr>
            <w:r>
              <w:rPr>
                <w:rFonts w:ascii="Arial" w:cs="Arial" w:eastAsia="Arial" w:hAnsi="Arial"/>
                <w:sz w:val="8"/>
                <w:szCs w:val="8"/>
                <w:color w:val="auto"/>
                <w:w w:val="88"/>
              </w:rPr>
              <w:t>$</w:t>
            </w: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59,508</w:t>
            </w: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Adjusted earnings per share - diluted </w:t>
            </w:r>
            <w:r>
              <w:rPr>
                <w:rFonts w:ascii="Arial" w:cs="Arial" w:eastAsia="Arial" w:hAnsi="Arial"/>
                <w:sz w:val="10"/>
                <w:szCs w:val="10"/>
                <w:color w:val="auto"/>
                <w:vertAlign w:val="superscript"/>
              </w:rPr>
              <w:t>(1)</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0.86</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0.78</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0.65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2.33</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1.88</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Book value per share</w:t>
            </w: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20.74</w:t>
            </w:r>
          </w:p>
        </w:tc>
        <w:tc>
          <w:tcPr>
            <w:tcW w:w="380" w:type="dxa"/>
            <w:vAlign w:val="bottom"/>
            <w:gridSpan w:val="2"/>
            <w:shd w:val="clear" w:color="auto" w:fill="CCEEFF"/>
          </w:tcPr>
          <w:p>
            <w:pPr>
              <w:jc w:val="right"/>
              <w:ind w:right="198"/>
              <w:spacing w:after="0"/>
              <w:rPr>
                <w:sz w:val="20"/>
                <w:szCs w:val="20"/>
                <w:color w:val="auto"/>
              </w:rPr>
            </w:pPr>
            <w:r>
              <w:rPr>
                <w:rFonts w:ascii="Arial" w:cs="Arial" w:eastAsia="Arial" w:hAnsi="Arial"/>
                <w:sz w:val="8"/>
                <w:szCs w:val="8"/>
                <w:color w:val="auto"/>
              </w:rPr>
              <w:t>$</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21.03</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19.05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20"/>
                <w:szCs w:val="20"/>
                <w:color w:val="auto"/>
              </w:rPr>
            </w:pPr>
            <w:r>
              <w:rPr>
                <w:rFonts w:ascii="Arial" w:cs="Arial" w:eastAsia="Arial" w:hAnsi="Arial"/>
                <w:sz w:val="8"/>
                <w:szCs w:val="8"/>
                <w:color w:val="auto"/>
              </w:rPr>
              <w:t xml:space="preserve">Tangible book value per share </w:t>
            </w:r>
            <w:r>
              <w:rPr>
                <w:rFonts w:ascii="Arial" w:cs="Arial" w:eastAsia="Arial" w:hAnsi="Arial"/>
                <w:sz w:val="10"/>
                <w:szCs w:val="10"/>
                <w:color w:val="auto"/>
                <w:vertAlign w:val="superscript"/>
              </w:rPr>
              <w:t>(1)</w:t>
            </w: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17.34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17.60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16.64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Shares of common stock outstanding</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36,365,612</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36,365,612</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31,455,803</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Weighted average shares of common stock outstanding, including all dilutive potential shares</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36,489,423</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36,466,688</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31,587,935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35,430,418</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31,628,929</w:t>
            </w:r>
          </w:p>
        </w:tc>
        <w:tc>
          <w:tcPr>
            <w:tcW w:w="0" w:type="dxa"/>
            <w:vAlign w:val="bottom"/>
          </w:tcPr>
          <w:p>
            <w:pPr>
              <w:spacing w:after="0"/>
              <w:rPr>
                <w:sz w:val="1"/>
                <w:szCs w:val="1"/>
                <w:color w:val="auto"/>
              </w:rPr>
            </w:pPr>
          </w:p>
        </w:tc>
      </w:tr>
      <w:tr>
        <w:trPr>
          <w:trHeight w:val="177"/>
        </w:trPr>
        <w:tc>
          <w:tcPr>
            <w:tcW w:w="39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SUMMARY RATIOS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Net interest margin *</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4.35 %</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4.32 %</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4.13 %</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4.30 %</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4.13 %</w:t>
            </w:r>
          </w:p>
        </w:tc>
        <w:tc>
          <w:tcPr>
            <w:tcW w:w="0" w:type="dxa"/>
            <w:vAlign w:val="bottom"/>
          </w:tcPr>
          <w:p>
            <w:pPr>
              <w:spacing w:after="0"/>
              <w:rPr>
                <w:sz w:val="1"/>
                <w:szCs w:val="1"/>
                <w:color w:val="auto"/>
              </w:rPr>
            </w:pPr>
          </w:p>
        </w:tc>
      </w:tr>
      <w:tr>
        <w:trPr>
          <w:trHeight w:val="117"/>
        </w:trPr>
        <w:tc>
          <w:tcPr>
            <w:tcW w:w="3960" w:type="dxa"/>
            <w:vAlign w:val="bottom"/>
          </w:tcPr>
          <w:p>
            <w:pPr>
              <w:spacing w:after="0"/>
              <w:rPr>
                <w:sz w:val="20"/>
                <w:szCs w:val="20"/>
                <w:color w:val="auto"/>
              </w:rPr>
            </w:pPr>
            <w:r>
              <w:rPr>
                <w:rFonts w:ascii="Arial" w:cs="Arial" w:eastAsia="Arial" w:hAnsi="Arial"/>
                <w:sz w:val="8"/>
                <w:szCs w:val="8"/>
                <w:color w:val="auto"/>
              </w:rPr>
              <w:t xml:space="preserve">Net interest margin (tax-equivalent basis) * </w:t>
            </w:r>
            <w:r>
              <w:rPr>
                <w:rFonts w:ascii="Arial" w:cs="Arial" w:eastAsia="Arial" w:hAnsi="Arial"/>
                <w:sz w:val="10"/>
                <w:szCs w:val="10"/>
                <w:color w:val="auto"/>
                <w:vertAlign w:val="superscript"/>
              </w:rPr>
              <w:t>(1)(2)</w:t>
            </w: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4.40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4.38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4.18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4.35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4.18</w:t>
            </w: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Efficiency ratio</w:t>
            </w:r>
          </w:p>
        </w:tc>
        <w:tc>
          <w:tcPr>
            <w:tcW w:w="240" w:type="dxa"/>
            <w:vAlign w:val="bottom"/>
          </w:tcPr>
          <w:p>
            <w:pPr>
              <w:spacing w:after="0"/>
              <w:rPr>
                <w:sz w:val="9"/>
                <w:szCs w:val="9"/>
                <w:color w:val="auto"/>
              </w:rPr>
            </w:pPr>
          </w:p>
        </w:tc>
        <w:tc>
          <w:tcPr>
            <w:tcW w:w="1160" w:type="dxa"/>
            <w:vAlign w:val="bottom"/>
          </w:tcPr>
          <w:p>
            <w:pPr>
              <w:jc w:val="right"/>
              <w:spacing w:after="0"/>
              <w:rPr>
                <w:sz w:val="20"/>
                <w:szCs w:val="20"/>
                <w:color w:val="auto"/>
              </w:rPr>
            </w:pPr>
            <w:r>
              <w:rPr>
                <w:rFonts w:ascii="Arial" w:cs="Arial" w:eastAsia="Arial" w:hAnsi="Arial"/>
                <w:sz w:val="8"/>
                <w:szCs w:val="8"/>
                <w:color w:val="auto"/>
              </w:rPr>
              <w:t>48.73 %</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auto"/>
              </w:rPr>
              <w:t>50.67 %</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spacing w:after="0"/>
              <w:rPr>
                <w:sz w:val="20"/>
                <w:szCs w:val="20"/>
                <w:color w:val="auto"/>
              </w:rPr>
            </w:pPr>
            <w:r>
              <w:rPr>
                <w:rFonts w:ascii="Arial" w:cs="Arial" w:eastAsia="Arial" w:hAnsi="Arial"/>
                <w:sz w:val="8"/>
                <w:szCs w:val="8"/>
                <w:color w:val="auto"/>
              </w:rPr>
              <w:t>53.17 %</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57.46 %</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spacing w:after="0"/>
              <w:rPr>
                <w:sz w:val="20"/>
                <w:szCs w:val="20"/>
                <w:color w:val="auto"/>
              </w:rPr>
            </w:pPr>
            <w:r>
              <w:rPr>
                <w:rFonts w:ascii="Arial" w:cs="Arial" w:eastAsia="Arial" w:hAnsi="Arial"/>
                <w:sz w:val="8"/>
                <w:szCs w:val="8"/>
                <w:color w:val="auto"/>
              </w:rPr>
              <w:t>53.37 %</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Efficiency ratio (tax-equivalent basis) </w:t>
            </w:r>
            <w:r>
              <w:rPr>
                <w:rFonts w:ascii="Arial" w:cs="Arial" w:eastAsia="Arial" w:hAnsi="Arial"/>
                <w:sz w:val="10"/>
                <w:szCs w:val="10"/>
                <w:color w:val="auto"/>
                <w:vertAlign w:val="superscript"/>
              </w:rPr>
              <w:t>(1)(2)</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48.24</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50.14</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52.68</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56.88</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52.88</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Loan to deposit ratio</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83.14 %</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82.54 %</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78.21 %</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Return on average assets *</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1.85 %</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1.66 %</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1.56 %</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1.47 %</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1.54 %</w:t>
            </w: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Return on average stockholders' equity *</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16.17</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14.73</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13.31</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12.84</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13.57</w:t>
            </w: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Return on average tangible common equity * </w:t>
            </w:r>
            <w:r>
              <w:rPr>
                <w:rFonts w:ascii="Arial" w:cs="Arial" w:eastAsia="Arial" w:hAnsi="Arial"/>
                <w:sz w:val="10"/>
                <w:szCs w:val="10"/>
                <w:color w:val="auto"/>
                <w:vertAlign w:val="superscript"/>
              </w:rPr>
              <w:t>(1)</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19.27</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17.69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15.28</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15.23</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15.66</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Adjusted return on average assets * </w:t>
            </w:r>
            <w:r>
              <w:rPr>
                <w:rFonts w:ascii="Arial" w:cs="Arial" w:eastAsia="Arial" w:hAnsi="Arial"/>
                <w:sz w:val="10"/>
                <w:szCs w:val="10"/>
                <w:color w:val="auto"/>
                <w:vertAlign w:val="superscript"/>
              </w:rPr>
              <w:t>(1)</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1.85 %</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1.70 %</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1.61 %</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1.73 %</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1.58 %</w:t>
            </w:r>
          </w:p>
        </w:tc>
        <w:tc>
          <w:tcPr>
            <w:tcW w:w="0" w:type="dxa"/>
            <w:vAlign w:val="bottom"/>
          </w:tcPr>
          <w:p>
            <w:pPr>
              <w:spacing w:after="0"/>
              <w:rPr>
                <w:sz w:val="1"/>
                <w:szCs w:val="1"/>
                <w:color w:val="auto"/>
              </w:rPr>
            </w:pPr>
          </w:p>
        </w:tc>
      </w:tr>
      <w:tr>
        <w:trPr>
          <w:trHeight w:val="117"/>
        </w:trPr>
        <w:tc>
          <w:tcPr>
            <w:tcW w:w="3960" w:type="dxa"/>
            <w:vAlign w:val="bottom"/>
          </w:tcPr>
          <w:p>
            <w:pPr>
              <w:spacing w:after="0"/>
              <w:rPr>
                <w:sz w:val="20"/>
                <w:szCs w:val="20"/>
                <w:color w:val="auto"/>
              </w:rPr>
            </w:pPr>
            <w:r>
              <w:rPr>
                <w:rFonts w:ascii="Arial" w:cs="Arial" w:eastAsia="Arial" w:hAnsi="Arial"/>
                <w:sz w:val="8"/>
                <w:szCs w:val="8"/>
                <w:color w:val="auto"/>
              </w:rPr>
              <w:t xml:space="preserve">Adjusted return on average stockholders' equity * </w:t>
            </w:r>
            <w:r>
              <w:rPr>
                <w:rFonts w:ascii="Arial" w:cs="Arial" w:eastAsia="Arial" w:hAnsi="Arial"/>
                <w:sz w:val="10"/>
                <w:szCs w:val="10"/>
                <w:color w:val="auto"/>
                <w:vertAlign w:val="superscript"/>
              </w:rPr>
              <w:t>(1)</w:t>
            </w: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16.18</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15.09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13.77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15.05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ind w:right="78"/>
              <w:spacing w:after="0"/>
              <w:rPr>
                <w:sz w:val="20"/>
                <w:szCs w:val="20"/>
                <w:color w:val="auto"/>
              </w:rPr>
            </w:pPr>
            <w:r>
              <w:rPr>
                <w:rFonts w:ascii="Arial" w:cs="Arial" w:eastAsia="Arial" w:hAnsi="Arial"/>
                <w:sz w:val="8"/>
                <w:szCs w:val="8"/>
                <w:color w:val="auto"/>
              </w:rPr>
              <w:t>13.90</w:t>
            </w:r>
          </w:p>
        </w:tc>
        <w:tc>
          <w:tcPr>
            <w:tcW w:w="0" w:type="dxa"/>
            <w:vAlign w:val="bottom"/>
          </w:tcPr>
          <w:p>
            <w:pPr>
              <w:spacing w:after="0"/>
              <w:rPr>
                <w:sz w:val="1"/>
                <w:szCs w:val="1"/>
                <w:color w:val="auto"/>
              </w:rPr>
            </w:pPr>
          </w:p>
        </w:tc>
      </w:tr>
      <w:tr>
        <w:trPr>
          <w:trHeight w:val="117"/>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Adjusted return on average tangible common equity * </w:t>
            </w:r>
            <w:r>
              <w:rPr>
                <w:rFonts w:ascii="Arial" w:cs="Arial" w:eastAsia="Arial" w:hAnsi="Arial"/>
                <w:sz w:val="10"/>
                <w:szCs w:val="10"/>
                <w:color w:val="auto"/>
                <w:vertAlign w:val="superscript"/>
              </w:rPr>
              <w:t>(1)</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19.29</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18.13</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15.81</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17.85</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16.05</w:t>
            </w:r>
          </w:p>
        </w:tc>
        <w:tc>
          <w:tcPr>
            <w:tcW w:w="0" w:type="dxa"/>
            <w:vAlign w:val="bottom"/>
          </w:tcPr>
          <w:p>
            <w:pPr>
              <w:spacing w:after="0"/>
              <w:rPr>
                <w:sz w:val="1"/>
                <w:szCs w:val="1"/>
                <w:color w:val="auto"/>
              </w:rPr>
            </w:pPr>
          </w:p>
        </w:tc>
      </w:tr>
      <w:tr>
        <w:trPr>
          <w:trHeight w:val="177"/>
        </w:trPr>
        <w:tc>
          <w:tcPr>
            <w:tcW w:w="39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CAPITAL</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Total capital to risk-weighted assets</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16.48 %</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16.20 %</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16.77 %</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Tier 1 capital to risk-weighted assets</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13.88</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13.59</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15.67</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Common equity tier 1 capital ratio</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12.94</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12.64</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14.35</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Tier 1 leverage ratio</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11.33</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11.01</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12.16</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Total stockholders' equity to total assets</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11.22</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11.37</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11.90</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60" w:type="dxa"/>
            <w:vAlign w:val="bottom"/>
          </w:tcPr>
          <w:p>
            <w:pPr>
              <w:spacing w:after="0"/>
              <w:rPr>
                <w:sz w:val="20"/>
                <w:szCs w:val="20"/>
                <w:color w:val="auto"/>
              </w:rPr>
            </w:pPr>
            <w:r>
              <w:rPr>
                <w:rFonts w:ascii="Arial" w:cs="Arial" w:eastAsia="Arial" w:hAnsi="Arial"/>
                <w:sz w:val="8"/>
                <w:szCs w:val="8"/>
                <w:color w:val="auto"/>
              </w:rPr>
              <w:t xml:space="preserve">Tangible common equity to tangible assets </w:t>
            </w:r>
            <w:r>
              <w:rPr>
                <w:rFonts w:ascii="Arial" w:cs="Arial" w:eastAsia="Arial" w:hAnsi="Arial"/>
                <w:sz w:val="10"/>
                <w:szCs w:val="10"/>
                <w:color w:val="auto"/>
                <w:vertAlign w:val="superscript"/>
              </w:rPr>
              <w:t>(1)</w:t>
            </w:r>
          </w:p>
        </w:tc>
        <w:tc>
          <w:tcPr>
            <w:tcW w:w="240" w:type="dxa"/>
            <w:vAlign w:val="bottom"/>
          </w:tcPr>
          <w:p>
            <w:pPr>
              <w:spacing w:after="0"/>
              <w:rPr>
                <w:sz w:val="12"/>
                <w:szCs w:val="12"/>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9.56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9.69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10.56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9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ASSET QUALITY</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Net charge-offs (recoveries) to average loans *</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(0.04)%</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8"/>
                <w:szCs w:val="8"/>
                <w:color w:val="auto"/>
              </w:rPr>
              <w:t>(0.01)%</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8"/>
                <w:szCs w:val="8"/>
                <w:color w:val="auto"/>
              </w:rPr>
              <w:t>0.02 %</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0.00 %</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8"/>
                <w:szCs w:val="8"/>
                <w:color w:val="auto"/>
              </w:rPr>
              <w:t>0.06 %</w:t>
            </w:r>
          </w:p>
        </w:tc>
        <w:tc>
          <w:tcPr>
            <w:tcW w:w="0" w:type="dxa"/>
            <w:vAlign w:val="bottom"/>
          </w:tcPr>
          <w:p>
            <w:pPr>
              <w:spacing w:after="0"/>
              <w:rPr>
                <w:sz w:val="1"/>
                <w:szCs w:val="1"/>
                <w:color w:val="auto"/>
              </w:rPr>
            </w:pPr>
          </w:p>
        </w:tc>
      </w:tr>
      <w:tr>
        <w:trPr>
          <w:trHeight w:val="113"/>
        </w:trPr>
        <w:tc>
          <w:tcPr>
            <w:tcW w:w="3960" w:type="dxa"/>
            <w:vAlign w:val="bottom"/>
          </w:tcPr>
          <w:p>
            <w:pPr>
              <w:spacing w:after="0"/>
              <w:rPr>
                <w:sz w:val="20"/>
                <w:szCs w:val="20"/>
                <w:color w:val="auto"/>
              </w:rPr>
            </w:pPr>
            <w:r>
              <w:rPr>
                <w:rFonts w:ascii="Arial" w:cs="Arial" w:eastAsia="Arial" w:hAnsi="Arial"/>
                <w:sz w:val="8"/>
                <w:szCs w:val="8"/>
                <w:color w:val="auto"/>
              </w:rPr>
              <w:t>Allowance for credit losses to loans, before allowance for credit losses</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1.26</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1.27</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1.23</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shd w:val="clear" w:color="auto" w:fill="CCEEFF"/>
          </w:tcPr>
          <w:p>
            <w:pPr>
              <w:spacing w:after="0"/>
              <w:rPr>
                <w:sz w:val="20"/>
                <w:szCs w:val="20"/>
                <w:color w:val="auto"/>
              </w:rPr>
            </w:pPr>
            <w:r>
              <w:rPr>
                <w:rFonts w:ascii="Arial" w:cs="Arial" w:eastAsia="Arial" w:hAnsi="Arial"/>
                <w:sz w:val="8"/>
                <w:szCs w:val="8"/>
                <w:color w:val="auto"/>
              </w:rPr>
              <w:t>Nonperforming loans to loans, before allowance for credit losses</w:t>
            </w: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0.21</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0.19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0.22</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960" w:type="dxa"/>
            <w:vAlign w:val="bottom"/>
          </w:tcPr>
          <w:p>
            <w:pPr>
              <w:spacing w:after="0"/>
              <w:rPr>
                <w:sz w:val="20"/>
                <w:szCs w:val="20"/>
                <w:color w:val="auto"/>
              </w:rPr>
            </w:pPr>
            <w:r>
              <w:rPr>
                <w:rFonts w:ascii="Arial" w:cs="Arial" w:eastAsia="Arial" w:hAnsi="Arial"/>
                <w:sz w:val="8"/>
                <w:szCs w:val="8"/>
                <w:color w:val="auto"/>
              </w:rPr>
              <w:t>Nonperforming assets to total assets</w:t>
            </w: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0.16</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jc w:val="right"/>
              <w:ind w:right="78"/>
              <w:spacing w:after="0"/>
              <w:rPr>
                <w:sz w:val="20"/>
                <w:szCs w:val="20"/>
                <w:color w:val="auto"/>
              </w:rPr>
            </w:pPr>
            <w:r>
              <w:rPr>
                <w:rFonts w:ascii="Arial" w:cs="Arial" w:eastAsia="Arial" w:hAnsi="Arial"/>
                <w:sz w:val="8"/>
                <w:szCs w:val="8"/>
                <w:color w:val="auto"/>
              </w:rPr>
              <w:t>0.15</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jc w:val="right"/>
              <w:ind w:right="58"/>
              <w:spacing w:after="0"/>
              <w:rPr>
                <w:sz w:val="20"/>
                <w:szCs w:val="20"/>
                <w:color w:val="auto"/>
              </w:rPr>
            </w:pPr>
            <w:r>
              <w:rPr>
                <w:rFonts w:ascii="Arial" w:cs="Arial" w:eastAsia="Arial" w:hAnsi="Arial"/>
                <w:sz w:val="8"/>
                <w:szCs w:val="8"/>
                <w:color w:val="auto"/>
              </w:rPr>
              <w:t>0.17</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See “Reconciliation of Non-GAAP Financial Measures” below for reconciliation of non-GAAP financial measures to their most closely comparable GAAP financial measures.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On a tax-equivalent basis assuming a federal income tax rate of 21% and a state income tax rate of 9.5%.</w:t>
      </w:r>
    </w:p>
    <w:p>
      <w:pPr>
        <w:sectPr>
          <w:pgSz w:w="11900" w:h="16838" w:orient="portrait"/>
          <w:cols w:equalWidth="0" w:num="1">
            <w:col w:w="11308"/>
          </w:cols>
          <w:pgMar w:left="292" w:top="135" w:right="299" w:bottom="1440" w:gutter="0" w:footer="0" w:header="0"/>
        </w:sectPr>
      </w:pPr>
    </w:p>
    <w:bookmarkStart w:id="11" w:name="page12"/>
    <w:bookmarkEnd w:id="11"/>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9</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Consolidated Statements of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1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8"/>
                <w:szCs w:val="8"/>
                <w:b w:val="1"/>
                <w:bCs w:val="1"/>
                <w:color w:val="auto"/>
              </w:rPr>
              <w:t>Three Months Ended</w:t>
            </w: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tcPr>
          <w:p>
            <w:pPr>
              <w:jc w:val="right"/>
              <w:ind w:right="678"/>
              <w:spacing w:after="0"/>
              <w:rPr>
                <w:sz w:val="20"/>
                <w:szCs w:val="20"/>
                <w:color w:val="auto"/>
              </w:rPr>
            </w:pPr>
            <w:r>
              <w:rPr>
                <w:rFonts w:ascii="Arial" w:cs="Arial" w:eastAsia="Arial" w:hAnsi="Arial"/>
                <w:sz w:val="8"/>
                <w:szCs w:val="8"/>
                <w:b w:val="1"/>
                <w:bCs w:val="1"/>
                <w:color w:val="auto"/>
              </w:rPr>
              <w:t>Nine Months Ended September 30,</w:t>
            </w: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tcPr>
          <w:p>
            <w:pPr>
              <w:ind w:left="160"/>
              <w:spacing w:after="0"/>
              <w:rPr>
                <w:sz w:val="20"/>
                <w:szCs w:val="20"/>
                <w:color w:val="auto"/>
              </w:rPr>
            </w:pPr>
            <w:r>
              <w:rPr>
                <w:rFonts w:ascii="Arial" w:cs="Arial" w:eastAsia="Arial" w:hAnsi="Arial"/>
                <w:sz w:val="8"/>
                <w:szCs w:val="8"/>
                <w:b w:val="1"/>
                <w:bCs w:val="1"/>
                <w:color w:val="auto"/>
              </w:rPr>
              <w:t>September 30,</w:t>
            </w:r>
          </w:p>
        </w:tc>
        <w:tc>
          <w:tcPr>
            <w:tcW w:w="160" w:type="dxa"/>
            <w:vAlign w:val="bottom"/>
          </w:tcPr>
          <w:p>
            <w:pPr>
              <w:spacing w:after="0"/>
              <w:rPr>
                <w:sz w:val="8"/>
                <w:szCs w:val="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June 30,</w:t>
            </w:r>
          </w:p>
        </w:tc>
        <w:tc>
          <w:tcPr>
            <w:tcW w:w="240" w:type="dxa"/>
            <w:vAlign w:val="bottom"/>
          </w:tcPr>
          <w:p>
            <w:pPr>
              <w:spacing w:after="0"/>
              <w:rPr>
                <w:sz w:val="8"/>
                <w:szCs w:val="8"/>
                <w:color w:val="auto"/>
              </w:rPr>
            </w:pPr>
          </w:p>
        </w:tc>
        <w:tc>
          <w:tcPr>
            <w:tcW w:w="1220" w:type="dxa"/>
            <w:vAlign w:val="bottom"/>
            <w:gridSpan w:val="2"/>
          </w:tcPr>
          <w:p>
            <w:pPr>
              <w:ind w:left="160"/>
              <w:spacing w:after="0"/>
              <w:rPr>
                <w:sz w:val="20"/>
                <w:szCs w:val="20"/>
                <w:color w:val="auto"/>
              </w:rPr>
            </w:pPr>
            <w:r>
              <w:rPr>
                <w:rFonts w:ascii="Arial" w:cs="Arial" w:eastAsia="Arial" w:hAnsi="Arial"/>
                <w:sz w:val="8"/>
                <w:szCs w:val="8"/>
                <w:b w:val="1"/>
                <w:bCs w:val="1"/>
                <w:color w:val="auto"/>
              </w:rPr>
              <w:t>September 30,</w:t>
            </w:r>
          </w:p>
        </w:tc>
        <w:tc>
          <w:tcPr>
            <w:tcW w:w="320" w:type="dxa"/>
            <w:vAlign w:val="bottom"/>
          </w:tcPr>
          <w:p>
            <w:pPr>
              <w:spacing w:after="0"/>
              <w:rPr>
                <w:sz w:val="8"/>
                <w:szCs w:val="8"/>
                <w:color w:val="auto"/>
              </w:rPr>
            </w:pPr>
          </w:p>
        </w:tc>
        <w:tc>
          <w:tcPr>
            <w:tcW w:w="1040" w:type="dxa"/>
            <w:vAlign w:val="bottom"/>
            <w:vMerge w:val="restart"/>
          </w:tcPr>
          <w:p>
            <w:pPr>
              <w:jc w:val="right"/>
              <w:ind w:right="538"/>
              <w:spacing w:after="0"/>
              <w:rPr>
                <w:sz w:val="20"/>
                <w:szCs w:val="20"/>
                <w:color w:val="auto"/>
              </w:rPr>
            </w:pPr>
            <w:r>
              <w:rPr>
                <w:rFonts w:ascii="Arial" w:cs="Arial" w:eastAsia="Arial" w:hAnsi="Arial"/>
                <w:sz w:val="8"/>
                <w:szCs w:val="8"/>
                <w:b w:val="1"/>
                <w:bCs w:val="1"/>
                <w:color w:val="auto"/>
              </w:rPr>
              <w:t>2026</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vMerge w:val="restart"/>
          </w:tcPr>
          <w:p>
            <w:pPr>
              <w:jc w:val="right"/>
              <w:ind w:right="558"/>
              <w:spacing w:after="0"/>
              <w:rPr>
                <w:sz w:val="20"/>
                <w:szCs w:val="20"/>
                <w:color w:val="auto"/>
              </w:rPr>
            </w:pPr>
            <w:r>
              <w:rPr>
                <w:rFonts w:ascii="Arial" w:cs="Arial" w:eastAsia="Arial" w:hAnsi="Arial"/>
                <w:sz w:val="8"/>
                <w:szCs w:val="8"/>
                <w:b w:val="1"/>
                <w:bCs w:val="1"/>
                <w:color w:val="auto"/>
              </w:rPr>
              <w:t>2025</w:t>
            </w:r>
          </w:p>
        </w:tc>
        <w:tc>
          <w:tcPr>
            <w:tcW w:w="0" w:type="dxa"/>
            <w:vAlign w:val="bottom"/>
          </w:tcPr>
          <w:p>
            <w:pPr>
              <w:spacing w:after="0"/>
              <w:rPr>
                <w:sz w:val="1"/>
                <w:szCs w:val="1"/>
                <w:color w:val="auto"/>
              </w:rPr>
            </w:pPr>
          </w:p>
        </w:tc>
      </w:tr>
      <w:tr>
        <w:trPr>
          <w:trHeight w:val="117"/>
        </w:trPr>
        <w:tc>
          <w:tcPr>
            <w:tcW w:w="4140" w:type="dxa"/>
            <w:vAlign w:val="bottom"/>
            <w:tcBorders>
              <w:bottom w:val="single" w:sz="8" w:color="CCEEFF"/>
            </w:tcBorders>
          </w:tcPr>
          <w:p>
            <w:pPr>
              <w:spacing w:after="0"/>
              <w:rPr>
                <w:sz w:val="20"/>
                <w:szCs w:val="20"/>
                <w:color w:val="auto"/>
              </w:rPr>
            </w:pPr>
            <w:r>
              <w:rPr>
                <w:rFonts w:ascii="Arial" w:cs="Arial" w:eastAsia="Arial" w:hAnsi="Arial"/>
                <w:sz w:val="8"/>
                <w:szCs w:val="8"/>
                <w:i w:val="1"/>
                <w:iCs w:val="1"/>
                <w:color w:val="auto"/>
              </w:rPr>
              <w:t>(dollars in thousands, except per share data)</w:t>
            </w: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8"/>
                <w:szCs w:val="8"/>
                <w:b w:val="1"/>
                <w:bCs w:val="1"/>
                <w:color w:val="auto"/>
              </w:rPr>
              <w:t>2026</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8"/>
                <w:szCs w:val="8"/>
                <w:b w:val="1"/>
                <w:bCs w:val="1"/>
                <w:color w:val="auto"/>
              </w:rPr>
              <w:t>2026</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8"/>
                <w:szCs w:val="8"/>
                <w:b w:val="1"/>
                <w:bCs w:val="1"/>
                <w:color w:val="auto"/>
              </w:rPr>
              <w:t>2025</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INTEREST AND DIVIDEND INCOME</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Loans, including fees:</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120"/>
              <w:spacing w:after="0"/>
              <w:rPr>
                <w:sz w:val="20"/>
                <w:szCs w:val="20"/>
                <w:color w:val="auto"/>
              </w:rPr>
            </w:pPr>
            <w:r>
              <w:rPr>
                <w:rFonts w:ascii="Arial" w:cs="Arial" w:eastAsia="Arial" w:hAnsi="Arial"/>
                <w:sz w:val="8"/>
                <w:szCs w:val="8"/>
                <w:color w:val="auto"/>
              </w:rPr>
              <w:t>Taxable</w:t>
            </w:r>
          </w:p>
        </w:tc>
        <w:tc>
          <w:tcPr>
            <w:tcW w:w="220" w:type="dxa"/>
            <w:vAlign w:val="bottom"/>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75,894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73,668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52,818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208,443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8"/>
              <w:spacing w:after="0"/>
              <w:rPr>
                <w:sz w:val="20"/>
                <w:szCs w:val="20"/>
                <w:color w:val="auto"/>
              </w:rPr>
            </w:pPr>
            <w:r>
              <w:rPr>
                <w:rFonts w:ascii="Arial" w:cs="Arial" w:eastAsia="Arial" w:hAnsi="Arial"/>
                <w:sz w:val="8"/>
                <w:szCs w:val="8"/>
                <w:color w:val="auto"/>
                <w:w w:val="88"/>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159,343</w:t>
            </w:r>
          </w:p>
        </w:tc>
        <w:tc>
          <w:tcPr>
            <w:tcW w:w="0" w:type="dxa"/>
            <w:vAlign w:val="bottom"/>
          </w:tcPr>
          <w:p>
            <w:pPr>
              <w:spacing w:after="0"/>
              <w:rPr>
                <w:sz w:val="1"/>
                <w:szCs w:val="1"/>
                <w:color w:val="auto"/>
              </w:rPr>
            </w:pPr>
          </w:p>
        </w:tc>
      </w:tr>
      <w:tr>
        <w:trPr>
          <w:trHeight w:val="125"/>
        </w:trPr>
        <w:tc>
          <w:tcPr>
            <w:tcW w:w="4140" w:type="dxa"/>
            <w:vAlign w:val="bottom"/>
          </w:tcPr>
          <w:p>
            <w:pPr>
              <w:ind w:left="120"/>
              <w:spacing w:after="0"/>
              <w:rPr>
                <w:sz w:val="20"/>
                <w:szCs w:val="20"/>
                <w:color w:val="auto"/>
              </w:rPr>
            </w:pPr>
            <w:r>
              <w:rPr>
                <w:rFonts w:ascii="Arial" w:cs="Arial" w:eastAsia="Arial" w:hAnsi="Arial"/>
                <w:sz w:val="8"/>
                <w:szCs w:val="8"/>
                <w:color w:val="auto"/>
              </w:rPr>
              <w:t>Federally tax exempt</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1,501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1,539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1,245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4,357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3,628</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Debt securities: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40" w:type="dxa"/>
            <w:vAlign w:val="bottom"/>
          </w:tcPr>
          <w:p>
            <w:pPr>
              <w:ind w:left="120"/>
              <w:spacing w:after="0"/>
              <w:rPr>
                <w:sz w:val="20"/>
                <w:szCs w:val="20"/>
                <w:color w:val="auto"/>
              </w:rPr>
            </w:pPr>
            <w:r>
              <w:rPr>
                <w:rFonts w:ascii="Arial" w:cs="Arial" w:eastAsia="Arial" w:hAnsi="Arial"/>
                <w:sz w:val="8"/>
                <w:szCs w:val="8"/>
                <w:color w:val="auto"/>
              </w:rPr>
              <w:t>Taxable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11,359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11,167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8,320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32,070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22,690</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120"/>
              <w:spacing w:after="0"/>
              <w:rPr>
                <w:sz w:val="20"/>
                <w:szCs w:val="20"/>
                <w:color w:val="auto"/>
              </w:rPr>
            </w:pPr>
            <w:r>
              <w:rPr>
                <w:rFonts w:ascii="Arial" w:cs="Arial" w:eastAsia="Arial" w:hAnsi="Arial"/>
                <w:sz w:val="8"/>
                <w:szCs w:val="8"/>
                <w:color w:val="auto"/>
              </w:rPr>
              <w:t>Federally tax exempt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1,045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459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2,704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1,385</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Interest-bearing deposits in bank</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735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1,024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1,350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3,035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3,959</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Other interest and dividend income</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128</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144</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475</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388</w:t>
            </w:r>
          </w:p>
        </w:tc>
        <w:tc>
          <w:tcPr>
            <w:tcW w:w="0" w:type="dxa"/>
            <w:vAlign w:val="bottom"/>
          </w:tcPr>
          <w:p>
            <w:pPr>
              <w:spacing w:after="0"/>
              <w:rPr>
                <w:sz w:val="1"/>
                <w:szCs w:val="1"/>
                <w:color w:val="auto"/>
              </w:rPr>
            </w:pPr>
          </w:p>
        </w:tc>
      </w:tr>
      <w:tr>
        <w:trPr>
          <w:trHeight w:val="117"/>
        </w:trPr>
        <w:tc>
          <w:tcPr>
            <w:tcW w:w="4140" w:type="dxa"/>
            <w:vAlign w:val="bottom"/>
          </w:tcPr>
          <w:p>
            <w:pPr>
              <w:ind w:left="280"/>
              <w:spacing w:after="0"/>
              <w:rPr>
                <w:sz w:val="20"/>
                <w:szCs w:val="20"/>
                <w:color w:val="auto"/>
              </w:rPr>
            </w:pPr>
            <w:r>
              <w:rPr>
                <w:rFonts w:ascii="Arial" w:cs="Arial" w:eastAsia="Arial" w:hAnsi="Arial"/>
                <w:sz w:val="8"/>
                <w:szCs w:val="8"/>
                <w:b w:val="1"/>
                <w:bCs w:val="1"/>
                <w:color w:val="auto"/>
              </w:rPr>
              <w:t>Total interest and dividend income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90,662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88,583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64,336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251,084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191,393</w:t>
            </w:r>
          </w:p>
        </w:tc>
        <w:tc>
          <w:tcPr>
            <w:tcW w:w="0" w:type="dxa"/>
            <w:vAlign w:val="bottom"/>
          </w:tcPr>
          <w:p>
            <w:pPr>
              <w:spacing w:after="0"/>
              <w:rPr>
                <w:sz w:val="1"/>
                <w:szCs w:val="1"/>
                <w:color w:val="auto"/>
              </w:rPr>
            </w:pPr>
          </w:p>
        </w:tc>
      </w:tr>
      <w:tr>
        <w:trPr>
          <w:trHeight w:val="143"/>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INTEREST EXPENSE</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Deposits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18,122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17,253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12,995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49,484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38,769</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Securities sold under agreements to repurchase</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22</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Borrowings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126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170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31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505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170</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Subordinated notes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1,245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387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2,756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1,326</w:t>
            </w:r>
          </w:p>
        </w:tc>
        <w:tc>
          <w:tcPr>
            <w:tcW w:w="0" w:type="dxa"/>
            <w:vAlign w:val="bottom"/>
          </w:tcPr>
          <w:p>
            <w:pPr>
              <w:spacing w:after="0"/>
              <w:rPr>
                <w:sz w:val="1"/>
                <w:szCs w:val="1"/>
                <w:color w:val="auto"/>
              </w:rPr>
            </w:pPr>
          </w:p>
        </w:tc>
      </w:tr>
      <w:tr>
        <w:trPr>
          <w:trHeight w:val="126"/>
        </w:trPr>
        <w:tc>
          <w:tcPr>
            <w:tcW w:w="4140" w:type="dxa"/>
            <w:vAlign w:val="bottom"/>
            <w:tcBorders>
              <w:bottom w:val="single" w:sz="8" w:color="CCEEFF"/>
            </w:tcBorders>
          </w:tcPr>
          <w:p>
            <w:pPr>
              <w:ind w:left="60"/>
              <w:spacing w:after="0"/>
              <w:rPr>
                <w:sz w:val="20"/>
                <w:szCs w:val="20"/>
                <w:color w:val="auto"/>
              </w:rPr>
            </w:pPr>
            <w:r>
              <w:rPr>
                <w:rFonts w:ascii="Arial" w:cs="Arial" w:eastAsia="Arial" w:hAnsi="Arial"/>
                <w:sz w:val="8"/>
                <w:szCs w:val="8"/>
                <w:color w:val="auto"/>
              </w:rPr>
              <w:t>Junior subordinated debentures issued to capital trusts</w:t>
            </w: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860</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845</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937</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2,545</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2,754</w:t>
            </w:r>
          </w:p>
        </w:tc>
        <w:tc>
          <w:tcPr>
            <w:tcW w:w="0" w:type="dxa"/>
            <w:vAlign w:val="bottom"/>
          </w:tcPr>
          <w:p>
            <w:pPr>
              <w:spacing w:after="0"/>
              <w:rPr>
                <w:sz w:val="1"/>
                <w:szCs w:val="1"/>
                <w:color w:val="auto"/>
              </w:rPr>
            </w:pPr>
          </w:p>
        </w:tc>
      </w:tr>
      <w:tr>
        <w:trPr>
          <w:trHeight w:val="133"/>
        </w:trPr>
        <w:tc>
          <w:tcPr>
            <w:tcW w:w="4140" w:type="dxa"/>
            <w:vAlign w:val="bottom"/>
            <w:shd w:val="clear" w:color="auto" w:fill="CCEEFF"/>
          </w:tcPr>
          <w:p>
            <w:pPr>
              <w:ind w:left="280"/>
              <w:spacing w:after="0"/>
              <w:rPr>
                <w:sz w:val="20"/>
                <w:szCs w:val="20"/>
                <w:color w:val="auto"/>
              </w:rPr>
            </w:pPr>
            <w:r>
              <w:rPr>
                <w:rFonts w:ascii="Arial" w:cs="Arial" w:eastAsia="Arial" w:hAnsi="Arial"/>
                <w:sz w:val="8"/>
                <w:szCs w:val="8"/>
                <w:b w:val="1"/>
                <w:bCs w:val="1"/>
                <w:color w:val="auto"/>
              </w:rPr>
              <w:t>Total interest expense</w:t>
            </w: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20,341</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19,527</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14,350</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55,320</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43,041</w:t>
            </w:r>
          </w:p>
        </w:tc>
        <w:tc>
          <w:tcPr>
            <w:tcW w:w="0" w:type="dxa"/>
            <w:vAlign w:val="bottom"/>
          </w:tcPr>
          <w:p>
            <w:pPr>
              <w:spacing w:after="0"/>
              <w:rPr>
                <w:sz w:val="1"/>
                <w:szCs w:val="1"/>
                <w:color w:val="auto"/>
              </w:rPr>
            </w:pPr>
          </w:p>
        </w:tc>
      </w:tr>
      <w:tr>
        <w:trPr>
          <w:trHeight w:val="116"/>
        </w:trPr>
        <w:tc>
          <w:tcPr>
            <w:tcW w:w="4140" w:type="dxa"/>
            <w:vAlign w:val="bottom"/>
          </w:tcPr>
          <w:p>
            <w:pPr>
              <w:ind w:left="280"/>
              <w:spacing w:after="0"/>
              <w:rPr>
                <w:sz w:val="20"/>
                <w:szCs w:val="20"/>
                <w:color w:val="auto"/>
              </w:rPr>
            </w:pPr>
            <w:r>
              <w:rPr>
                <w:rFonts w:ascii="Arial" w:cs="Arial" w:eastAsia="Arial" w:hAnsi="Arial"/>
                <w:sz w:val="8"/>
                <w:szCs w:val="8"/>
                <w:b w:val="1"/>
                <w:bCs w:val="1"/>
                <w:color w:val="auto"/>
              </w:rPr>
              <w:t>Net interest income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70,321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69,056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49,986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195,764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148,352</w:t>
            </w:r>
          </w:p>
        </w:tc>
        <w:tc>
          <w:tcPr>
            <w:tcW w:w="0" w:type="dxa"/>
            <w:vAlign w:val="bottom"/>
          </w:tcPr>
          <w:p>
            <w:pPr>
              <w:spacing w:after="0"/>
              <w:rPr>
                <w:sz w:val="1"/>
                <w:szCs w:val="1"/>
                <w:color w:val="auto"/>
              </w:rPr>
            </w:pPr>
          </w:p>
        </w:tc>
      </w:tr>
      <w:tr>
        <w:trPr>
          <w:trHeight w:val="143"/>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PROVISION FOR CREDIT LOSSES</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(561)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676</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596</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(41)</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1,698</w:t>
            </w:r>
          </w:p>
        </w:tc>
        <w:tc>
          <w:tcPr>
            <w:tcW w:w="0" w:type="dxa"/>
            <w:vAlign w:val="bottom"/>
          </w:tcPr>
          <w:p>
            <w:pPr>
              <w:spacing w:after="0"/>
              <w:rPr>
                <w:sz w:val="1"/>
                <w:szCs w:val="1"/>
                <w:color w:val="auto"/>
              </w:rPr>
            </w:pPr>
          </w:p>
        </w:tc>
      </w:tr>
      <w:tr>
        <w:trPr>
          <w:trHeight w:val="115"/>
        </w:trPr>
        <w:tc>
          <w:tcPr>
            <w:tcW w:w="4140" w:type="dxa"/>
            <w:vAlign w:val="bottom"/>
          </w:tcPr>
          <w:p>
            <w:pPr>
              <w:ind w:left="280"/>
              <w:spacing w:after="0"/>
              <w:rPr>
                <w:sz w:val="20"/>
                <w:szCs w:val="20"/>
                <w:color w:val="auto"/>
              </w:rPr>
            </w:pPr>
            <w:r>
              <w:rPr>
                <w:rFonts w:ascii="Arial" w:cs="Arial" w:eastAsia="Arial" w:hAnsi="Arial"/>
                <w:sz w:val="8"/>
                <w:szCs w:val="8"/>
                <w:b w:val="1"/>
                <w:bCs w:val="1"/>
                <w:color w:val="auto"/>
              </w:rPr>
              <w:t>Net interest income after provision for credit losses</w:t>
            </w:r>
          </w:p>
        </w:tc>
        <w:tc>
          <w:tcPr>
            <w:tcW w:w="22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70,882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68,380</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49,390</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195,805</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146,654</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NONINTEREST INCOME</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Card income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3,247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3,428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2,732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9,426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8,077</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Wealth management fees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3,943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3,917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3,122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11,624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8,789</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Service charges on deposit accounts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2,680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2,489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2,093</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7,329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5,952</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Mortgage servicing</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1,143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3,237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3,051</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Mortgage servicing rights fair value adjustment</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1,460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(751)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(514)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906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(1,573)</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Gains on sale of mortgage loans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550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412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1,293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1,101</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Realized gains (losses) on sales of securities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(184)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(184)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(49)</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Unrealized gains (losses) on equity securities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191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(67)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(36)</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Gains (losses) on foreclosed assets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(129)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148</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(156)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175</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Gains (losses) on other assets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(274)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126"/>
        </w:trPr>
        <w:tc>
          <w:tcPr>
            <w:tcW w:w="4140" w:type="dxa"/>
            <w:vAlign w:val="bottom"/>
          </w:tcPr>
          <w:p>
            <w:pPr>
              <w:ind w:left="60"/>
              <w:spacing w:after="0"/>
              <w:rPr>
                <w:sz w:val="20"/>
                <w:szCs w:val="20"/>
                <w:color w:val="auto"/>
              </w:rPr>
            </w:pPr>
            <w:r>
              <w:rPr>
                <w:rFonts w:ascii="Arial" w:cs="Arial" w:eastAsia="Arial" w:hAnsi="Arial"/>
                <w:sz w:val="8"/>
                <w:szCs w:val="8"/>
                <w:color w:val="auto"/>
              </w:rPr>
              <w:t>Income on bank owned life insurance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229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206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169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623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500</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Other noninterest income</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1,401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937</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820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3,190</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2,396</w:t>
            </w:r>
          </w:p>
        </w:tc>
        <w:tc>
          <w:tcPr>
            <w:tcW w:w="0" w:type="dxa"/>
            <w:vAlign w:val="bottom"/>
          </w:tcPr>
          <w:p>
            <w:pPr>
              <w:spacing w:after="0"/>
              <w:rPr>
                <w:sz w:val="1"/>
                <w:szCs w:val="1"/>
                <w:color w:val="auto"/>
              </w:rPr>
            </w:pPr>
          </w:p>
        </w:tc>
      </w:tr>
      <w:tr>
        <w:trPr>
          <w:trHeight w:val="117"/>
        </w:trPr>
        <w:tc>
          <w:tcPr>
            <w:tcW w:w="4140" w:type="dxa"/>
            <w:vAlign w:val="bottom"/>
          </w:tcPr>
          <w:p>
            <w:pPr>
              <w:ind w:left="280"/>
              <w:spacing w:after="0"/>
              <w:rPr>
                <w:sz w:val="20"/>
                <w:szCs w:val="20"/>
                <w:color w:val="auto"/>
              </w:rPr>
            </w:pPr>
            <w:r>
              <w:rPr>
                <w:rFonts w:ascii="Arial" w:cs="Arial" w:eastAsia="Arial" w:hAnsi="Arial"/>
                <w:sz w:val="8"/>
                <w:szCs w:val="8"/>
                <w:b w:val="1"/>
                <w:bCs w:val="1"/>
                <w:color w:val="auto"/>
              </w:rPr>
              <w:t>Total noninterest income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14,237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11,841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9,849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37,022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28,295</w:t>
            </w:r>
          </w:p>
        </w:tc>
        <w:tc>
          <w:tcPr>
            <w:tcW w:w="0" w:type="dxa"/>
            <w:vAlign w:val="bottom"/>
          </w:tcPr>
          <w:p>
            <w:pPr>
              <w:spacing w:after="0"/>
              <w:rPr>
                <w:sz w:val="1"/>
                <w:szCs w:val="1"/>
                <w:color w:val="auto"/>
              </w:rPr>
            </w:pPr>
          </w:p>
        </w:tc>
      </w:tr>
      <w:tr>
        <w:trPr>
          <w:trHeight w:val="143"/>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NONINTEREST EXPENSE</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Salaries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20,988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21,981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16,351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66,030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49,856</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Employee benefits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4,493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4,185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3,314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12,598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10,179</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Occupancy of bank premises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3,933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3,509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2,826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10,566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7,922</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Furniture and equipment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861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931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737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2,400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1,757</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Data processing</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4,130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3,763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2,791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19,687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8,195</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Marketing and customer relations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1,386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1,035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3,752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3,199</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Amortization of intangible assets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1,455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1,455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694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3,797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2,083</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Loss on extinguishment of debt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391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391</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FDIC insurance</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723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677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561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1,988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1,674</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Loan collection and servicing</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640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555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264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1,891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1,007</w:t>
            </w:r>
          </w:p>
        </w:tc>
        <w:tc>
          <w:tcPr>
            <w:tcW w:w="0" w:type="dxa"/>
            <w:vAlign w:val="bottom"/>
          </w:tcPr>
          <w:p>
            <w:pPr>
              <w:spacing w:after="0"/>
              <w:rPr>
                <w:sz w:val="1"/>
                <w:szCs w:val="1"/>
                <w:color w:val="auto"/>
              </w:rPr>
            </w:pPr>
          </w:p>
        </w:tc>
      </w:tr>
      <w:tr>
        <w:trPr>
          <w:trHeight w:val="125"/>
        </w:trPr>
        <w:tc>
          <w:tcPr>
            <w:tcW w:w="4140" w:type="dxa"/>
            <w:vAlign w:val="bottom"/>
          </w:tcPr>
          <w:p>
            <w:pPr>
              <w:ind w:left="60"/>
              <w:spacing w:after="0"/>
              <w:rPr>
                <w:sz w:val="20"/>
                <w:szCs w:val="20"/>
                <w:color w:val="auto"/>
              </w:rPr>
            </w:pPr>
            <w:r>
              <w:rPr>
                <w:rFonts w:ascii="Arial" w:cs="Arial" w:eastAsia="Arial" w:hAnsi="Arial"/>
                <w:sz w:val="8"/>
                <w:szCs w:val="8"/>
                <w:color w:val="auto"/>
              </w:rPr>
              <w:t>Foreclosed assets</w:t>
            </w:r>
          </w:p>
        </w:tc>
        <w:tc>
          <w:tcPr>
            <w:tcW w:w="22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43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8"/>
                <w:szCs w:val="8"/>
                <w:color w:val="auto"/>
              </w:rPr>
              <w:t>40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143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134</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60"/>
              <w:spacing w:after="0"/>
              <w:rPr>
                <w:sz w:val="20"/>
                <w:szCs w:val="20"/>
                <w:color w:val="auto"/>
              </w:rPr>
            </w:pPr>
            <w:r>
              <w:rPr>
                <w:rFonts w:ascii="Arial" w:cs="Arial" w:eastAsia="Arial" w:hAnsi="Arial"/>
                <w:sz w:val="8"/>
                <w:szCs w:val="8"/>
                <w:color w:val="auto"/>
              </w:rPr>
              <w:t>Other noninterest expense</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4,175</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3,964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3,482</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14,694</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9,960</w:t>
            </w:r>
          </w:p>
        </w:tc>
        <w:tc>
          <w:tcPr>
            <w:tcW w:w="0" w:type="dxa"/>
            <w:vAlign w:val="bottom"/>
          </w:tcPr>
          <w:p>
            <w:pPr>
              <w:spacing w:after="0"/>
              <w:rPr>
                <w:sz w:val="1"/>
                <w:szCs w:val="1"/>
                <w:color w:val="auto"/>
              </w:rPr>
            </w:pPr>
          </w:p>
        </w:tc>
      </w:tr>
      <w:tr>
        <w:trPr>
          <w:trHeight w:val="117"/>
        </w:trPr>
        <w:tc>
          <w:tcPr>
            <w:tcW w:w="4140" w:type="dxa"/>
            <w:vAlign w:val="bottom"/>
            <w:tcBorders>
              <w:bottom w:val="single" w:sz="8" w:color="CCEEFF"/>
            </w:tcBorders>
          </w:tcPr>
          <w:p>
            <w:pPr>
              <w:ind w:left="280"/>
              <w:spacing w:after="0"/>
              <w:rPr>
                <w:sz w:val="20"/>
                <w:szCs w:val="20"/>
                <w:color w:val="auto"/>
              </w:rPr>
            </w:pPr>
            <w:r>
              <w:rPr>
                <w:rFonts w:ascii="Arial" w:cs="Arial" w:eastAsia="Arial" w:hAnsi="Arial"/>
                <w:sz w:val="8"/>
                <w:szCs w:val="8"/>
                <w:b w:val="1"/>
                <w:bCs w:val="1"/>
                <w:color w:val="auto"/>
              </w:rPr>
              <w:t>Total noninterest expense</w:t>
            </w: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42,663</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42,446</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32,508</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137,546</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96,357</w:t>
            </w:r>
          </w:p>
        </w:tc>
        <w:tc>
          <w:tcPr>
            <w:tcW w:w="0" w:type="dxa"/>
            <w:vAlign w:val="bottom"/>
          </w:tcPr>
          <w:p>
            <w:pPr>
              <w:spacing w:after="0"/>
              <w:rPr>
                <w:sz w:val="1"/>
                <w:szCs w:val="1"/>
                <w:color w:val="auto"/>
              </w:rPr>
            </w:pPr>
          </w:p>
        </w:tc>
      </w:tr>
      <w:tr>
        <w:trPr>
          <w:trHeight w:val="131"/>
        </w:trPr>
        <w:tc>
          <w:tcPr>
            <w:tcW w:w="414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INCOME BEFORE INCOME TAX EXPENSE</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42,456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8"/>
                <w:szCs w:val="8"/>
                <w:color w:val="auto"/>
              </w:rPr>
              <w:t>37,775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26,731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95,281</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78,592</w:t>
            </w:r>
          </w:p>
        </w:tc>
        <w:tc>
          <w:tcPr>
            <w:tcW w:w="0" w:type="dxa"/>
            <w:vAlign w:val="bottom"/>
          </w:tcPr>
          <w:p>
            <w:pPr>
              <w:spacing w:after="0"/>
              <w:rPr>
                <w:sz w:val="1"/>
                <w:szCs w:val="1"/>
                <w:color w:val="auto"/>
              </w:rPr>
            </w:pPr>
          </w:p>
        </w:tc>
      </w:tr>
      <w:tr>
        <w:trPr>
          <w:trHeight w:val="128"/>
        </w:trPr>
        <w:tc>
          <w:tcPr>
            <w:tcW w:w="4140" w:type="dxa"/>
            <w:vAlign w:val="bottom"/>
            <w:tcBorders>
              <w:bottom w:val="single" w:sz="8" w:color="CCEEFF"/>
            </w:tcBorders>
          </w:tcPr>
          <w:p>
            <w:pPr>
              <w:spacing w:after="0"/>
              <w:rPr>
                <w:sz w:val="20"/>
                <w:szCs w:val="20"/>
                <w:color w:val="auto"/>
              </w:rPr>
            </w:pPr>
            <w:r>
              <w:rPr>
                <w:rFonts w:ascii="Arial" w:cs="Arial" w:eastAsia="Arial" w:hAnsi="Arial"/>
                <w:sz w:val="8"/>
                <w:szCs w:val="8"/>
                <w:b w:val="1"/>
                <w:bCs w:val="1"/>
                <w:color w:val="auto"/>
              </w:rPr>
              <w:t>INCOME TAX EXPENSE</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11,064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9,931</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6,966</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24,845</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20,522</w:t>
            </w:r>
          </w:p>
        </w:tc>
        <w:tc>
          <w:tcPr>
            <w:tcW w:w="0" w:type="dxa"/>
            <w:vAlign w:val="bottom"/>
          </w:tcPr>
          <w:p>
            <w:pPr>
              <w:spacing w:after="0"/>
              <w:rPr>
                <w:sz w:val="1"/>
                <w:szCs w:val="1"/>
                <w:color w:val="auto"/>
              </w:rPr>
            </w:pPr>
          </w:p>
        </w:tc>
      </w:tr>
      <w:tr>
        <w:trPr>
          <w:trHeight w:val="13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8"/>
                <w:szCs w:val="8"/>
                <w:b w:val="1"/>
                <w:bCs w:val="1"/>
                <w:color w:val="auto"/>
              </w:rPr>
              <w:t>NET INCOME</w:t>
            </w:r>
          </w:p>
        </w:tc>
        <w:tc>
          <w:tcPr>
            <w:tcW w:w="2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31,392</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27,844</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19,765</w:t>
            </w:r>
          </w:p>
        </w:tc>
        <w:tc>
          <w:tcPr>
            <w:tcW w:w="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70,436</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58,070</w:t>
            </w:r>
          </w:p>
        </w:tc>
        <w:tc>
          <w:tcPr>
            <w:tcW w:w="0" w:type="dxa"/>
            <w:vAlign w:val="bottom"/>
          </w:tcPr>
          <w:p>
            <w:pPr>
              <w:spacing w:after="0"/>
              <w:rPr>
                <w:sz w:val="1"/>
                <w:szCs w:val="1"/>
                <w:color w:val="auto"/>
              </w:rPr>
            </w:pPr>
          </w:p>
        </w:tc>
      </w:tr>
      <w:tr>
        <w:trPr>
          <w:trHeight w:val="151"/>
        </w:trPr>
        <w:tc>
          <w:tcPr>
            <w:tcW w:w="4140" w:type="dxa"/>
            <w:vAlign w:val="bottom"/>
            <w:tcBorders>
              <w:bottom w:val="single" w:sz="8" w:color="CCEEFF"/>
            </w:tcBorders>
          </w:tcPr>
          <w:p>
            <w:pPr>
              <w:spacing w:after="0"/>
              <w:rPr>
                <w:sz w:val="20"/>
                <w:szCs w:val="20"/>
                <w:color w:val="auto"/>
              </w:rPr>
            </w:pPr>
            <w:r>
              <w:rPr>
                <w:rFonts w:ascii="Arial" w:cs="Arial" w:eastAsia="Arial" w:hAnsi="Arial"/>
                <w:sz w:val="8"/>
                <w:szCs w:val="8"/>
                <w:b w:val="1"/>
                <w:bCs w:val="1"/>
                <w:color w:val="auto"/>
              </w:rPr>
              <w:t>EARNINGS PER SHARE - BASIC</w:t>
            </w:r>
          </w:p>
        </w:tc>
        <w:tc>
          <w:tcPr>
            <w:tcW w:w="22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0.86</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w w:val="88"/>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0.77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0.63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1.99</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1.84</w:t>
            </w:r>
          </w:p>
        </w:tc>
        <w:tc>
          <w:tcPr>
            <w:tcW w:w="0" w:type="dxa"/>
            <w:vAlign w:val="bottom"/>
          </w:tcPr>
          <w:p>
            <w:pPr>
              <w:spacing w:after="0"/>
              <w:rPr>
                <w:sz w:val="1"/>
                <w:szCs w:val="1"/>
                <w:color w:val="auto"/>
              </w:rPr>
            </w:pPr>
          </w:p>
        </w:tc>
      </w:tr>
      <w:tr>
        <w:trPr>
          <w:trHeight w:val="155"/>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8"/>
                <w:szCs w:val="8"/>
                <w:b w:val="1"/>
                <w:bCs w:val="1"/>
                <w:color w:val="auto"/>
              </w:rPr>
              <w:t>EARNINGS PER SHARE - DILUTED</w:t>
            </w:r>
          </w:p>
        </w:tc>
        <w:tc>
          <w:tcPr>
            <w:tcW w:w="2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0.86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0.76</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0.63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1.99</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8"/>
                <w:szCs w:val="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1.84</w:t>
            </w:r>
          </w:p>
        </w:tc>
        <w:tc>
          <w:tcPr>
            <w:tcW w:w="0" w:type="dxa"/>
            <w:vAlign w:val="bottom"/>
          </w:tcPr>
          <w:p>
            <w:pPr>
              <w:spacing w:after="0"/>
              <w:rPr>
                <w:sz w:val="1"/>
                <w:szCs w:val="1"/>
                <w:color w:val="auto"/>
              </w:rPr>
            </w:pPr>
          </w:p>
        </w:tc>
      </w:tr>
      <w:tr>
        <w:trPr>
          <w:trHeight w:val="121"/>
        </w:trPr>
        <w:tc>
          <w:tcPr>
            <w:tcW w:w="4140" w:type="dxa"/>
            <w:vAlign w:val="bottom"/>
          </w:tcPr>
          <w:p>
            <w:pPr>
              <w:spacing w:after="0"/>
              <w:rPr>
                <w:sz w:val="20"/>
                <w:szCs w:val="20"/>
                <w:color w:val="auto"/>
              </w:rPr>
            </w:pPr>
            <w:r>
              <w:rPr>
                <w:rFonts w:ascii="Arial" w:cs="Arial" w:eastAsia="Arial" w:hAnsi="Arial"/>
                <w:sz w:val="8"/>
                <w:szCs w:val="8"/>
                <w:b w:val="1"/>
                <w:bCs w:val="1"/>
                <w:color w:val="auto"/>
              </w:rPr>
              <w:t>WEIGHTED AVERAGE SHARES OF COMMON STOCK OUTSTANDING</w:t>
            </w: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36,365,612</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36,373,749</w:t>
            </w: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31,481,135</w:t>
            </w:r>
          </w:p>
        </w:tc>
        <w:tc>
          <w:tcPr>
            <w:tcW w:w="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35,318,125</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31,525,247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35" w:right="299" w:bottom="1440" w:gutter="0" w:footer="0" w:header="0"/>
        </w:sectPr>
      </w:pPr>
    </w:p>
    <w:bookmarkStart w:id="12" w:name="page13"/>
    <w:bookmarkEnd w:id="12"/>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10</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10"/>
                <w:szCs w:val="10"/>
                <w:color w:val="auto"/>
              </w:rPr>
            </w:pPr>
          </w:p>
        </w:tc>
        <w:tc>
          <w:tcPr>
            <w:tcW w:w="1240" w:type="dxa"/>
            <w:vAlign w:val="bottom"/>
          </w:tcPr>
          <w:p>
            <w:pPr>
              <w:jc w:val="right"/>
              <w:ind w:right="37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24"/>
        </w:trPr>
        <w:tc>
          <w:tcPr>
            <w:tcW w:w="6680" w:type="dxa"/>
            <w:vAlign w:val="bottom"/>
            <w:tcBorders>
              <w:bottom w:val="single" w:sz="8" w:color="CCEEFF"/>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24"/>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Cash and due from banks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28,860</w:t>
            </w:r>
          </w:p>
        </w:tc>
        <w:tc>
          <w:tcPr>
            <w:tcW w:w="80" w:type="dxa"/>
            <w:vAlign w:val="bottom"/>
          </w:tcPr>
          <w:p>
            <w:pPr>
              <w:spacing w:after="0"/>
              <w:rPr>
                <w:sz w:val="12"/>
                <w:szCs w:val="12"/>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28,634</w:t>
            </w:r>
          </w:p>
        </w:tc>
        <w:tc>
          <w:tcPr>
            <w:tcW w:w="10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21,767</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Interest-bearing deposits with banks</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97,400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103,616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133,366</w:t>
            </w:r>
          </w:p>
        </w:tc>
        <w:tc>
          <w:tcPr>
            <w:tcW w:w="0" w:type="dxa"/>
            <w:vAlign w:val="bottom"/>
          </w:tcPr>
          <w:p>
            <w:pPr>
              <w:spacing w:after="0"/>
              <w:rPr>
                <w:sz w:val="1"/>
                <w:szCs w:val="1"/>
                <w:color w:val="auto"/>
              </w:rPr>
            </w:pPr>
          </w:p>
        </w:tc>
      </w:tr>
      <w:tr>
        <w:trPr>
          <w:trHeight w:val="133"/>
        </w:trPr>
        <w:tc>
          <w:tcPr>
            <w:tcW w:w="6680" w:type="dxa"/>
            <w:vAlign w:val="bottom"/>
          </w:tcPr>
          <w:p>
            <w:pPr>
              <w:ind w:left="120"/>
              <w:spacing w:after="0"/>
              <w:rPr>
                <w:sz w:val="20"/>
                <w:szCs w:val="20"/>
                <w:color w:val="auto"/>
              </w:rPr>
            </w:pPr>
            <w:r>
              <w:rPr>
                <w:rFonts w:ascii="Arial" w:cs="Arial" w:eastAsia="Arial" w:hAnsi="Arial"/>
                <w:sz w:val="10"/>
                <w:szCs w:val="10"/>
                <w:color w:val="auto"/>
              </w:rPr>
              <w:t>Cash and cash equivalents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126,260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132,250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155,133</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Interest-bearing time deposits with banks</w:t>
            </w:r>
          </w:p>
        </w:tc>
        <w:tc>
          <w:tcPr>
            <w:tcW w:w="24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245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Debt securities available-for-sale, at fair value</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1,065,551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1,085,908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793,730</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Debt securities held-to-maturity</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417,491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443,042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466,565</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Equity securities with readily determinable fair value</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3,475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3,546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3,279</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Equity securities with no readily determinable fair value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6,671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6,438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2,609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Restricted stock, at cost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4,979</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Loans held for sale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2,980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3,857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1,432</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Loans, before allowance for credit losses</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4,782,743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4,752,418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3,400,029</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Allowance for credit losses</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(60,475)</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(60,564)</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(41,900)</w:t>
            </w:r>
          </w:p>
        </w:tc>
        <w:tc>
          <w:tcPr>
            <w:tcW w:w="0" w:type="dxa"/>
            <w:vAlign w:val="bottom"/>
          </w:tcPr>
          <w:p>
            <w:pPr>
              <w:spacing w:after="0"/>
              <w:rPr>
                <w:sz w:val="1"/>
                <w:szCs w:val="1"/>
                <w:color w:val="auto"/>
              </w:rPr>
            </w:pPr>
          </w:p>
        </w:tc>
      </w:tr>
      <w:tr>
        <w:trPr>
          <w:trHeight w:val="133"/>
        </w:trPr>
        <w:tc>
          <w:tcPr>
            <w:tcW w:w="6680" w:type="dxa"/>
            <w:vAlign w:val="bottom"/>
          </w:tcPr>
          <w:p>
            <w:pPr>
              <w:ind w:left="60"/>
              <w:spacing w:after="0"/>
              <w:rPr>
                <w:sz w:val="20"/>
                <w:szCs w:val="20"/>
                <w:color w:val="auto"/>
              </w:rPr>
            </w:pPr>
            <w:r>
              <w:rPr>
                <w:rFonts w:ascii="Arial" w:cs="Arial" w:eastAsia="Arial" w:hAnsi="Arial"/>
                <w:sz w:val="10"/>
                <w:szCs w:val="10"/>
                <w:color w:val="auto"/>
              </w:rPr>
              <w:t>Loans, net of allowance for credit losses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4,722,268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4,691,854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3,358,129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Bank owned life insurance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38,112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37,883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24,489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Bank premises and equipment, net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91,606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91,418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69,965</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Bank premises held for sale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276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337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Foreclosed assets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1,007</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Goodwill</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81,949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81,949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Intangible assets, net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41,403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42,858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15,760</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Mortgage servicing rights, at fair value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20,799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19,339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17,254</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Investments in unconsolidated subsidiaries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1,614</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Accrued interest receivable</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39,427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35,082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23,575</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Other assets</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52,789</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43,260</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35,687</w:t>
            </w:r>
          </w:p>
        </w:tc>
        <w:tc>
          <w:tcPr>
            <w:tcW w:w="0" w:type="dxa"/>
            <w:vAlign w:val="bottom"/>
          </w:tcPr>
          <w:p>
            <w:pPr>
              <w:spacing w:after="0"/>
              <w:rPr>
                <w:sz w:val="1"/>
                <w:szCs w:val="1"/>
                <w:color w:val="auto"/>
              </w:rPr>
            </w:pPr>
          </w:p>
        </w:tc>
      </w:tr>
      <w:tr>
        <w:trPr>
          <w:trHeight w:val="152"/>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0"/>
                <w:szCs w:val="10"/>
                <w:b w:val="1"/>
                <w:bCs w:val="1"/>
                <w:color w:val="auto"/>
              </w:rPr>
              <w:t>Total assets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6,719,327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6,727,646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5,035,027</w:t>
            </w:r>
          </w:p>
        </w:tc>
        <w:tc>
          <w:tcPr>
            <w:tcW w:w="0" w:type="dxa"/>
            <w:vAlign w:val="bottom"/>
          </w:tcPr>
          <w:p>
            <w:pPr>
              <w:spacing w:after="0"/>
              <w:rPr>
                <w:sz w:val="1"/>
                <w:szCs w:val="1"/>
                <w:color w:val="auto"/>
              </w:rPr>
            </w:pPr>
          </w:p>
        </w:tc>
      </w:tr>
      <w:tr>
        <w:trPr>
          <w:trHeight w:val="126"/>
        </w:trPr>
        <w:tc>
          <w:tcPr>
            <w:tcW w:w="6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680" w:type="dxa"/>
            <w:vAlign w:val="bottom"/>
          </w:tcPr>
          <w:p>
            <w:pPr>
              <w:spacing w:after="0"/>
              <w:rPr>
                <w:sz w:val="20"/>
                <w:szCs w:val="20"/>
                <w:color w:val="auto"/>
              </w:rPr>
            </w:pPr>
            <w:r>
              <w:rPr>
                <w:rFonts w:ascii="Arial" w:cs="Arial" w:eastAsia="Arial" w:hAnsi="Arial"/>
                <w:sz w:val="10"/>
                <w:szCs w:val="10"/>
                <w:b w:val="1"/>
                <w:bCs w:val="1"/>
                <w:color w:val="auto"/>
              </w:rPr>
              <w:t>LIABILITIES AND STOCKHOLDERS' EQUITY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Liabilities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Deposits: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Noninterest-bearing</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1,303,942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1,313,650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1,034,181</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Interest-bearing</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4,448,490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4,444,336</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3,313,006</w:t>
            </w:r>
          </w:p>
        </w:tc>
        <w:tc>
          <w:tcPr>
            <w:tcW w:w="0" w:type="dxa"/>
            <w:vAlign w:val="bottom"/>
          </w:tcPr>
          <w:p>
            <w:pPr>
              <w:spacing w:after="0"/>
              <w:rPr>
                <w:sz w:val="1"/>
                <w:szCs w:val="1"/>
                <w:color w:val="auto"/>
              </w:rPr>
            </w:pPr>
          </w:p>
        </w:tc>
      </w:tr>
      <w:tr>
        <w:trPr>
          <w:trHeight w:val="136"/>
        </w:trPr>
        <w:tc>
          <w:tcPr>
            <w:tcW w:w="668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deposits</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5,752,432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5,757,986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4,347,187</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Federal Home Loan Bank advances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12,210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12,363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7,271</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Subordinated notes</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84,051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84,026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Junior subordinated debentures issued to capital trusts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52,953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52,939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52,894</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Other liabilities</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63,590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55,599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28,546</w:t>
            </w:r>
          </w:p>
        </w:tc>
        <w:tc>
          <w:tcPr>
            <w:tcW w:w="0" w:type="dxa"/>
            <w:vAlign w:val="bottom"/>
          </w:tcPr>
          <w:p>
            <w:pPr>
              <w:spacing w:after="0"/>
              <w:rPr>
                <w:sz w:val="1"/>
                <w:szCs w:val="1"/>
                <w:color w:val="auto"/>
              </w:rPr>
            </w:pPr>
          </w:p>
        </w:tc>
      </w:tr>
      <w:tr>
        <w:trPr>
          <w:trHeight w:val="136"/>
        </w:trPr>
        <w:tc>
          <w:tcPr>
            <w:tcW w:w="6680" w:type="dxa"/>
            <w:vAlign w:val="bottom"/>
            <w:shd w:val="clear" w:color="auto" w:fill="CCEEFF"/>
          </w:tcPr>
          <w:p>
            <w:pPr>
              <w:ind w:left="220"/>
              <w:spacing w:after="0"/>
              <w:rPr>
                <w:sz w:val="20"/>
                <w:szCs w:val="20"/>
                <w:color w:val="auto"/>
              </w:rPr>
            </w:pPr>
            <w:r>
              <w:rPr>
                <w:rFonts w:ascii="Arial" w:cs="Arial" w:eastAsia="Arial" w:hAnsi="Arial"/>
                <w:sz w:val="10"/>
                <w:szCs w:val="10"/>
                <w:b w:val="1"/>
                <w:bCs w:val="1"/>
                <w:color w:val="auto"/>
              </w:rPr>
              <w:t>Total liabilities</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5,965,236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5,962,913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4,435,898</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Stockholders' Equity</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Common stock</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385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385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329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Surplus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447,557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447,030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297,992</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Retained earnings</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412,781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390,528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354,864</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Accumulated other comprehensive income (loss)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(62,949)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(29,527)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(27,119)</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Treasury stock at cost</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(43,683)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(43,683)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(26,937)</w:t>
            </w:r>
          </w:p>
        </w:tc>
        <w:tc>
          <w:tcPr>
            <w:tcW w:w="0" w:type="dxa"/>
            <w:vAlign w:val="bottom"/>
          </w:tcPr>
          <w:p>
            <w:pPr>
              <w:spacing w:after="0"/>
              <w:rPr>
                <w:sz w:val="1"/>
                <w:szCs w:val="1"/>
                <w:color w:val="auto"/>
              </w:rPr>
            </w:pPr>
          </w:p>
        </w:tc>
      </w:tr>
      <w:tr>
        <w:trPr>
          <w:trHeight w:val="135"/>
        </w:trPr>
        <w:tc>
          <w:tcPr>
            <w:tcW w:w="6680" w:type="dxa"/>
            <w:vAlign w:val="bottom"/>
            <w:shd w:val="clear" w:color="auto" w:fill="CCEEFF"/>
          </w:tcPr>
          <w:p>
            <w:pPr>
              <w:ind w:left="220"/>
              <w:spacing w:after="0"/>
              <w:rPr>
                <w:sz w:val="20"/>
                <w:szCs w:val="20"/>
                <w:color w:val="auto"/>
              </w:rPr>
            </w:pPr>
            <w:r>
              <w:rPr>
                <w:rFonts w:ascii="Arial" w:cs="Arial" w:eastAsia="Arial" w:hAnsi="Arial"/>
                <w:sz w:val="10"/>
                <w:szCs w:val="10"/>
                <w:b w:val="1"/>
                <w:bCs w:val="1"/>
                <w:color w:val="auto"/>
              </w:rPr>
              <w:t>Total stockholders’ equity</w:t>
            </w: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754,091</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764,733</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599,129</w:t>
            </w:r>
          </w:p>
        </w:tc>
        <w:tc>
          <w:tcPr>
            <w:tcW w:w="0" w:type="dxa"/>
            <w:vAlign w:val="bottom"/>
          </w:tcPr>
          <w:p>
            <w:pPr>
              <w:spacing w:after="0"/>
              <w:rPr>
                <w:sz w:val="1"/>
                <w:szCs w:val="1"/>
                <w:color w:val="auto"/>
              </w:rPr>
            </w:pPr>
          </w:p>
        </w:tc>
      </w:tr>
      <w:tr>
        <w:trPr>
          <w:trHeight w:val="150"/>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0"/>
                <w:szCs w:val="10"/>
                <w:b w:val="1"/>
                <w:bCs w:val="1"/>
                <w:color w:val="auto"/>
              </w:rPr>
              <w:t>Total liabilities and stockholders’ equity</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6,719,327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6,727,646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5,035,027</w:t>
            </w:r>
          </w:p>
        </w:tc>
        <w:tc>
          <w:tcPr>
            <w:tcW w:w="0" w:type="dxa"/>
            <w:vAlign w:val="bottom"/>
          </w:tcPr>
          <w:p>
            <w:pPr>
              <w:spacing w:after="0"/>
              <w:rPr>
                <w:sz w:val="1"/>
                <w:szCs w:val="1"/>
                <w:color w:val="auto"/>
              </w:rPr>
            </w:pPr>
          </w:p>
        </w:tc>
      </w:tr>
      <w:tr>
        <w:trPr>
          <w:trHeight w:val="126"/>
        </w:trPr>
        <w:tc>
          <w:tcPr>
            <w:tcW w:w="6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80" w:type="dxa"/>
            <w:vAlign w:val="bottom"/>
          </w:tcPr>
          <w:p>
            <w:pPr>
              <w:spacing w:after="0"/>
              <w:rPr>
                <w:sz w:val="20"/>
                <w:szCs w:val="20"/>
                <w:color w:val="auto"/>
              </w:rPr>
            </w:pPr>
            <w:r>
              <w:rPr>
                <w:rFonts w:ascii="Arial" w:cs="Arial" w:eastAsia="Arial" w:hAnsi="Arial"/>
                <w:sz w:val="10"/>
                <w:szCs w:val="10"/>
                <w:b w:val="1"/>
                <w:bCs w:val="1"/>
                <w:color w:val="auto"/>
              </w:rPr>
              <w:t>SHARES OF COMMON STOCK OUTSTANDING</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36,365,612</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36,365,612</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31,455,803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35" w:right="299" w:bottom="1440" w:gutter="0" w:footer="0" w:header="0"/>
        </w:sectPr>
      </w:pPr>
    </w:p>
    <w:bookmarkStart w:id="13" w:name="page14"/>
    <w:bookmarkEnd w:id="13"/>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10"/>
                <w:szCs w:val="10"/>
                <w:color w:val="auto"/>
              </w:rPr>
            </w:pPr>
          </w:p>
        </w:tc>
        <w:tc>
          <w:tcPr>
            <w:tcW w:w="1240" w:type="dxa"/>
            <w:vAlign w:val="bottom"/>
          </w:tcPr>
          <w:p>
            <w:pPr>
              <w:jc w:val="right"/>
              <w:ind w:right="37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4"/>
        </w:trPr>
        <w:tc>
          <w:tcPr>
            <w:tcW w:w="668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52"/>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LOANS</w:t>
            </w: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Commercial and industrial</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509,973</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525,190</w:t>
            </w:r>
          </w:p>
        </w:tc>
        <w:tc>
          <w:tcPr>
            <w:tcW w:w="10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395,859</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Commercial real estate - owner occupied</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515,800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507,163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312,192</w:t>
            </w: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Commercial real estate - non-owner occupied</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1,136,065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1,128,594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931,723</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Construction and land development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476,352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429,793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269,924</w:t>
            </w: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Multi-family</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648,969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666,586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514,801</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One-to-four family residential</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583,266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579,612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443,215</w:t>
            </w: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Agricultural and farmland</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595,485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593,984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280,309</w:t>
            </w:r>
          </w:p>
        </w:tc>
        <w:tc>
          <w:tcPr>
            <w:tcW w:w="0" w:type="dxa"/>
            <w:vAlign w:val="bottom"/>
          </w:tcPr>
          <w:p>
            <w:pPr>
              <w:spacing w:after="0"/>
              <w:rPr>
                <w:sz w:val="1"/>
                <w:szCs w:val="1"/>
                <w:color w:val="auto"/>
              </w:rPr>
            </w:pPr>
          </w:p>
        </w:tc>
      </w:tr>
      <w:tr>
        <w:trPr>
          <w:trHeight w:val="135"/>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Municipal, consumer, and other</w:t>
            </w: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316,833</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321,496</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252,006</w:t>
            </w:r>
          </w:p>
        </w:tc>
        <w:tc>
          <w:tcPr>
            <w:tcW w:w="0" w:type="dxa"/>
            <w:vAlign w:val="bottom"/>
          </w:tcPr>
          <w:p>
            <w:pPr>
              <w:spacing w:after="0"/>
              <w:rPr>
                <w:sz w:val="1"/>
                <w:szCs w:val="1"/>
                <w:color w:val="auto"/>
              </w:rPr>
            </w:pPr>
          </w:p>
        </w:tc>
      </w:tr>
      <w:tr>
        <w:trPr>
          <w:trHeight w:val="127"/>
        </w:trPr>
        <w:tc>
          <w:tcPr>
            <w:tcW w:w="6680" w:type="dxa"/>
            <w:vAlign w:val="bottom"/>
          </w:tcPr>
          <w:p>
            <w:pPr>
              <w:ind w:left="140"/>
              <w:spacing w:after="0"/>
              <w:rPr>
                <w:sz w:val="20"/>
                <w:szCs w:val="20"/>
                <w:color w:val="auto"/>
              </w:rPr>
            </w:pPr>
            <w:r>
              <w:rPr>
                <w:rFonts w:ascii="Arial" w:cs="Arial" w:eastAsia="Arial" w:hAnsi="Arial"/>
                <w:sz w:val="10"/>
                <w:szCs w:val="10"/>
                <w:b w:val="1"/>
                <w:bCs w:val="1"/>
                <w:color w:val="auto"/>
              </w:rPr>
              <w:t>Total loans</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4,782,743</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4,752,418</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3,400,029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10"/>
                <w:szCs w:val="10"/>
                <w:color w:val="auto"/>
              </w:rPr>
            </w:pPr>
          </w:p>
        </w:tc>
        <w:tc>
          <w:tcPr>
            <w:tcW w:w="1240" w:type="dxa"/>
            <w:vAlign w:val="bottom"/>
          </w:tcPr>
          <w:p>
            <w:pPr>
              <w:jc w:val="right"/>
              <w:ind w:right="37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2"/>
        </w:trPr>
        <w:tc>
          <w:tcPr>
            <w:tcW w:w="668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DEPOSITS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Noninterest-bearing deposits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1,303,942</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1,313,650</w:t>
            </w:r>
          </w:p>
        </w:tc>
        <w:tc>
          <w:tcPr>
            <w:tcW w:w="10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1,034,181</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Interest-bearing deposits: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680" w:type="dxa"/>
            <w:vAlign w:val="bottom"/>
          </w:tcPr>
          <w:p>
            <w:pPr>
              <w:ind w:left="60"/>
              <w:spacing w:after="0"/>
              <w:rPr>
                <w:sz w:val="20"/>
                <w:szCs w:val="20"/>
                <w:color w:val="auto"/>
              </w:rPr>
            </w:pPr>
            <w:r>
              <w:rPr>
                <w:rFonts w:ascii="Arial" w:cs="Arial" w:eastAsia="Arial" w:hAnsi="Arial"/>
                <w:sz w:val="10"/>
                <w:szCs w:val="10"/>
                <w:color w:val="auto"/>
              </w:rPr>
              <w:t>Interest-bearing demand</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1,323,535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1,351,994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1,102,815</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Money market</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1,071,278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1,012,207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883,327</w:t>
            </w:r>
          </w:p>
        </w:tc>
        <w:tc>
          <w:tcPr>
            <w:tcW w:w="0" w:type="dxa"/>
            <w:vAlign w:val="bottom"/>
          </w:tcPr>
          <w:p>
            <w:pPr>
              <w:spacing w:after="0"/>
              <w:rPr>
                <w:sz w:val="1"/>
                <w:szCs w:val="1"/>
                <w:color w:val="auto"/>
              </w:rPr>
            </w:pPr>
          </w:p>
        </w:tc>
      </w:tr>
      <w:tr>
        <w:trPr>
          <w:trHeight w:val="132"/>
        </w:trPr>
        <w:tc>
          <w:tcPr>
            <w:tcW w:w="6680" w:type="dxa"/>
            <w:vAlign w:val="bottom"/>
          </w:tcPr>
          <w:p>
            <w:pPr>
              <w:ind w:left="60"/>
              <w:spacing w:after="0"/>
              <w:rPr>
                <w:sz w:val="20"/>
                <w:szCs w:val="20"/>
                <w:color w:val="auto"/>
              </w:rPr>
            </w:pPr>
            <w:r>
              <w:rPr>
                <w:rFonts w:ascii="Arial" w:cs="Arial" w:eastAsia="Arial" w:hAnsi="Arial"/>
                <w:sz w:val="10"/>
                <w:szCs w:val="10"/>
                <w:color w:val="auto"/>
              </w:rPr>
              <w:t>Savings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829,297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853,993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562,149</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Time</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1,224,380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1,226,142</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764,715</w:t>
            </w:r>
          </w:p>
        </w:tc>
        <w:tc>
          <w:tcPr>
            <w:tcW w:w="0" w:type="dxa"/>
            <w:vAlign w:val="bottom"/>
          </w:tcPr>
          <w:p>
            <w:pPr>
              <w:spacing w:after="0"/>
              <w:rPr>
                <w:sz w:val="1"/>
                <w:szCs w:val="1"/>
                <w:color w:val="auto"/>
              </w:rPr>
            </w:pPr>
          </w:p>
        </w:tc>
      </w:tr>
      <w:tr>
        <w:trPr>
          <w:trHeight w:val="12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0"/>
                <w:szCs w:val="10"/>
                <w:b w:val="1"/>
                <w:bCs w:val="1"/>
                <w:color w:val="auto"/>
              </w:rPr>
              <w:t>Total interest-bearing deposits</w:t>
            </w: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4,448,490</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4,444,336</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3,313,006</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b w:val="1"/>
                <w:bCs w:val="1"/>
                <w:color w:val="auto"/>
              </w:rPr>
              <w:t>Total deposits</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5,752,432</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5,757,986</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4,347,187</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5" w:right="299" w:bottom="1440" w:gutter="0" w:footer="0" w:header="0"/>
        </w:sectPr>
      </w:pPr>
    </w:p>
    <w:bookmarkStart w:id="14" w:name="page15"/>
    <w:bookmarkEnd w:id="14"/>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12</w:t>
      </w:r>
    </w:p>
    <w:p>
      <w:pPr>
        <w:spacing w:after="0" w:line="200" w:lineRule="exact"/>
        <w:rPr>
          <w:sz w:val="20"/>
          <w:szCs w:val="20"/>
          <w:color w:val="auto"/>
        </w:rPr>
      </w:pPr>
    </w:p>
    <w:p>
      <w:pPr>
        <w:spacing w:after="0" w:line="242" w:lineRule="exact"/>
        <w:rPr>
          <w:sz w:val="20"/>
          <w:szCs w:val="20"/>
          <w:color w:val="auto"/>
        </w:rPr>
      </w:pPr>
    </w:p>
    <w:p>
      <w:pPr>
        <w:jc w:val="center"/>
        <w:ind w:right="-27"/>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ind w:right="-27"/>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02"/>
        </w:trPr>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7"/>
                <w:szCs w:val="7"/>
                <w:b w:val="1"/>
                <w:bCs w:val="1"/>
                <w:color w:val="auto"/>
              </w:rPr>
              <w:t>Three Months Ended</w:t>
            </w: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7"/>
                <w:szCs w:val="7"/>
                <w:b w:val="1"/>
                <w:bCs w:val="1"/>
                <w:color w:val="auto"/>
              </w:rPr>
              <w:t>September 30, 2026</w:t>
            </w: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7"/>
                <w:szCs w:val="7"/>
                <w:b w:val="1"/>
                <w:bCs w:val="1"/>
                <w:color w:val="auto"/>
              </w:rPr>
              <w:t>June 30, 2026</w:t>
            </w: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7"/>
                <w:szCs w:val="7"/>
                <w:b w:val="1"/>
                <w:bCs w:val="1"/>
                <w:color w:val="auto"/>
              </w:rPr>
              <w:t>September 30, 2025</w:t>
            </w: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80" w:type="dxa"/>
            <w:vAlign w:val="bottom"/>
          </w:tcPr>
          <w:p>
            <w:pPr>
              <w:spacing w:after="0"/>
              <w:rPr>
                <w:sz w:val="20"/>
                <w:szCs w:val="20"/>
                <w:color w:val="auto"/>
              </w:rPr>
            </w:pPr>
            <w:r>
              <w:rPr>
                <w:rFonts w:ascii="Arial" w:cs="Arial" w:eastAsia="Arial" w:hAnsi="Arial"/>
                <w:sz w:val="7"/>
                <w:szCs w:val="7"/>
                <w:i w:val="1"/>
                <w:iCs w:val="1"/>
                <w:color w:val="auto"/>
              </w:rPr>
              <w:t>(dollars in thousands)</w:t>
            </w:r>
          </w:p>
        </w:tc>
        <w:tc>
          <w:tcPr>
            <w:tcW w:w="100" w:type="dxa"/>
            <w:vAlign w:val="bottom"/>
          </w:tcPr>
          <w:p>
            <w:pPr>
              <w:spacing w:after="0"/>
              <w:rPr>
                <w:sz w:val="8"/>
                <w:szCs w:val="8"/>
                <w:color w:val="auto"/>
              </w:rPr>
            </w:pPr>
          </w:p>
        </w:tc>
        <w:tc>
          <w:tcPr>
            <w:tcW w:w="760" w:type="dxa"/>
            <w:vAlign w:val="bottom"/>
          </w:tcPr>
          <w:p>
            <w:pPr>
              <w:jc w:val="right"/>
              <w:ind w:right="10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ind w:left="220"/>
              <w:spacing w:after="0"/>
              <w:rPr>
                <w:sz w:val="20"/>
                <w:szCs w:val="20"/>
                <w:color w:val="auto"/>
              </w:rPr>
            </w:pPr>
            <w:r>
              <w:rPr>
                <w:rFonts w:ascii="Arial" w:cs="Arial" w:eastAsia="Arial" w:hAnsi="Arial"/>
                <w:sz w:val="7"/>
                <w:szCs w:val="7"/>
                <w:b w:val="1"/>
                <w:bCs w:val="1"/>
                <w:color w:val="auto"/>
              </w:rPr>
              <w:t>Interest</w:t>
            </w:r>
          </w:p>
        </w:tc>
        <w:tc>
          <w:tcPr>
            <w:tcW w:w="1020" w:type="dxa"/>
            <w:vAlign w:val="bottom"/>
            <w:gridSpan w:val="2"/>
          </w:tcPr>
          <w:p>
            <w:pPr>
              <w:ind w:left="260"/>
              <w:spacing w:after="0"/>
              <w:rPr>
                <w:sz w:val="20"/>
                <w:szCs w:val="20"/>
                <w:color w:val="auto"/>
              </w:rPr>
            </w:pPr>
            <w:r>
              <w:rPr>
                <w:rFonts w:ascii="Arial" w:cs="Arial" w:eastAsia="Arial" w:hAnsi="Arial"/>
                <w:sz w:val="7"/>
                <w:szCs w:val="7"/>
                <w:b w:val="1"/>
                <w:bCs w:val="1"/>
                <w:color w:val="auto"/>
              </w:rPr>
              <w:t>Yield/Cost *</w:t>
            </w:r>
          </w:p>
        </w:tc>
        <w:tc>
          <w:tcPr>
            <w:tcW w:w="100" w:type="dxa"/>
            <w:vAlign w:val="bottom"/>
          </w:tcPr>
          <w:p>
            <w:pPr>
              <w:spacing w:after="0"/>
              <w:rPr>
                <w:sz w:val="8"/>
                <w:szCs w:val="8"/>
                <w:color w:val="auto"/>
              </w:rPr>
            </w:pPr>
          </w:p>
        </w:tc>
        <w:tc>
          <w:tcPr>
            <w:tcW w:w="760" w:type="dxa"/>
            <w:vAlign w:val="bottom"/>
          </w:tcPr>
          <w:p>
            <w:pPr>
              <w:jc w:val="right"/>
              <w:ind w:right="10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ind w:left="240"/>
              <w:spacing w:after="0"/>
              <w:rPr>
                <w:sz w:val="20"/>
                <w:szCs w:val="20"/>
                <w:color w:val="auto"/>
              </w:rPr>
            </w:pPr>
            <w:r>
              <w:rPr>
                <w:rFonts w:ascii="Arial" w:cs="Arial" w:eastAsia="Arial" w:hAnsi="Arial"/>
                <w:sz w:val="7"/>
                <w:szCs w:val="7"/>
                <w:b w:val="1"/>
                <w:bCs w:val="1"/>
                <w:color w:val="auto"/>
              </w:rPr>
              <w:t>Interest</w:t>
            </w:r>
          </w:p>
        </w:tc>
        <w:tc>
          <w:tcPr>
            <w:tcW w:w="1020" w:type="dxa"/>
            <w:vAlign w:val="bottom"/>
            <w:gridSpan w:val="2"/>
          </w:tcPr>
          <w:p>
            <w:pPr>
              <w:ind w:left="260"/>
              <w:spacing w:after="0"/>
              <w:rPr>
                <w:sz w:val="20"/>
                <w:szCs w:val="20"/>
                <w:color w:val="auto"/>
              </w:rPr>
            </w:pPr>
            <w:r>
              <w:rPr>
                <w:rFonts w:ascii="Arial" w:cs="Arial" w:eastAsia="Arial" w:hAnsi="Arial"/>
                <w:sz w:val="7"/>
                <w:szCs w:val="7"/>
                <w:b w:val="1"/>
                <w:bCs w:val="1"/>
                <w:color w:val="auto"/>
              </w:rPr>
              <w:t>Yield/Cost *</w:t>
            </w:r>
          </w:p>
        </w:tc>
        <w:tc>
          <w:tcPr>
            <w:tcW w:w="100" w:type="dxa"/>
            <w:vAlign w:val="bottom"/>
          </w:tcPr>
          <w:p>
            <w:pPr>
              <w:spacing w:after="0"/>
              <w:rPr>
                <w:sz w:val="8"/>
                <w:szCs w:val="8"/>
                <w:color w:val="auto"/>
              </w:rPr>
            </w:pPr>
          </w:p>
        </w:tc>
        <w:tc>
          <w:tcPr>
            <w:tcW w:w="760" w:type="dxa"/>
            <w:vAlign w:val="bottom"/>
          </w:tcPr>
          <w:p>
            <w:pPr>
              <w:jc w:val="right"/>
              <w:ind w:right="10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ind w:left="220"/>
              <w:spacing w:after="0"/>
              <w:rPr>
                <w:sz w:val="20"/>
                <w:szCs w:val="20"/>
                <w:color w:val="auto"/>
              </w:rPr>
            </w:pPr>
            <w:r>
              <w:rPr>
                <w:rFonts w:ascii="Arial" w:cs="Arial" w:eastAsia="Arial" w:hAnsi="Arial"/>
                <w:sz w:val="7"/>
                <w:szCs w:val="7"/>
                <w:b w:val="1"/>
                <w:bCs w:val="1"/>
                <w:color w:val="auto"/>
              </w:rPr>
              <w:t>Interest</w:t>
            </w:r>
          </w:p>
        </w:tc>
        <w:tc>
          <w:tcPr>
            <w:tcW w:w="940" w:type="dxa"/>
            <w:vAlign w:val="bottom"/>
          </w:tcPr>
          <w:p>
            <w:pPr>
              <w:jc w:val="right"/>
              <w:ind w:right="224"/>
              <w:spacing w:after="0"/>
              <w:rPr>
                <w:sz w:val="20"/>
                <w:szCs w:val="20"/>
                <w:color w:val="auto"/>
              </w:rPr>
            </w:pPr>
            <w:r>
              <w:rPr>
                <w:rFonts w:ascii="Arial" w:cs="Arial" w:eastAsia="Arial" w:hAnsi="Arial"/>
                <w:sz w:val="7"/>
                <w:szCs w:val="7"/>
                <w:b w:val="1"/>
                <w:bCs w:val="1"/>
                <w:color w:val="auto"/>
              </w:rPr>
              <w:t>Yield/Cost *</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ASSETS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ind w:left="60"/>
              <w:spacing w:after="0"/>
              <w:rPr>
                <w:sz w:val="20"/>
                <w:szCs w:val="20"/>
                <w:color w:val="auto"/>
              </w:rPr>
            </w:pPr>
            <w:r>
              <w:rPr>
                <w:rFonts w:ascii="Arial" w:cs="Arial" w:eastAsia="Arial" w:hAnsi="Arial"/>
                <w:sz w:val="7"/>
                <w:szCs w:val="7"/>
                <w:color w:val="auto"/>
              </w:rPr>
              <w:t>Loans</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4,771,700</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77,395</w:t>
            </w:r>
          </w:p>
        </w:tc>
        <w:tc>
          <w:tcPr>
            <w:tcW w:w="8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6.43 %</w:t>
            </w:r>
          </w:p>
        </w:tc>
        <w:tc>
          <w:tcPr>
            <w:tcW w:w="10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4,731,275</w:t>
            </w:r>
          </w:p>
        </w:tc>
        <w:tc>
          <w:tcPr>
            <w:tcW w:w="16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75,207</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6.38 %</w:t>
            </w:r>
          </w:p>
        </w:tc>
        <w:tc>
          <w:tcPr>
            <w:tcW w:w="8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3,379,637</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54,063</w:t>
            </w:r>
          </w:p>
        </w:tc>
        <w:tc>
          <w:tcPr>
            <w:tcW w:w="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6.35 %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Debt securities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1,522,439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12,404</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3.23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1,517,731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12,168</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3.22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1,265,683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8,779</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2.75</w:t>
            </w:r>
          </w:p>
        </w:tc>
        <w:tc>
          <w:tcPr>
            <w:tcW w:w="0" w:type="dxa"/>
            <w:vAlign w:val="bottom"/>
          </w:tcPr>
          <w:p>
            <w:pPr>
              <w:spacing w:after="0"/>
              <w:rPr>
                <w:sz w:val="1"/>
                <w:szCs w:val="1"/>
                <w:color w:val="auto"/>
              </w:rPr>
            </w:pPr>
          </w:p>
        </w:tc>
      </w:tr>
      <w:tr>
        <w:trPr>
          <w:trHeight w:val="101"/>
        </w:trPr>
        <w:tc>
          <w:tcPr>
            <w:tcW w:w="2580" w:type="dxa"/>
            <w:vAlign w:val="bottom"/>
          </w:tcPr>
          <w:p>
            <w:pPr>
              <w:ind w:left="60"/>
              <w:spacing w:after="0"/>
              <w:rPr>
                <w:sz w:val="20"/>
                <w:szCs w:val="20"/>
                <w:color w:val="auto"/>
              </w:rPr>
            </w:pPr>
            <w:r>
              <w:rPr>
                <w:rFonts w:ascii="Arial" w:cs="Arial" w:eastAsia="Arial" w:hAnsi="Arial"/>
                <w:sz w:val="7"/>
                <w:szCs w:val="7"/>
                <w:color w:val="auto"/>
              </w:rPr>
              <w:t>Deposits with banks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106,879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735</w:t>
            </w:r>
          </w:p>
        </w:tc>
        <w:tc>
          <w:tcPr>
            <w:tcW w:w="80" w:type="dxa"/>
            <w:vAlign w:val="bottom"/>
          </w:tcPr>
          <w:p>
            <w:pPr>
              <w:spacing w:after="0"/>
              <w:rPr>
                <w:sz w:val="8"/>
                <w:szCs w:val="8"/>
                <w:color w:val="auto"/>
              </w:rPr>
            </w:pPr>
          </w:p>
        </w:tc>
        <w:tc>
          <w:tcPr>
            <w:tcW w:w="920" w:type="dxa"/>
            <w:vAlign w:val="bottom"/>
          </w:tcPr>
          <w:p>
            <w:pPr>
              <w:jc w:val="right"/>
              <w:ind w:right="64"/>
              <w:spacing w:after="0"/>
              <w:rPr>
                <w:sz w:val="20"/>
                <w:szCs w:val="20"/>
                <w:color w:val="auto"/>
              </w:rPr>
            </w:pPr>
            <w:r>
              <w:rPr>
                <w:rFonts w:ascii="Arial" w:cs="Arial" w:eastAsia="Arial" w:hAnsi="Arial"/>
                <w:sz w:val="7"/>
                <w:szCs w:val="7"/>
                <w:color w:val="auto"/>
              </w:rPr>
              <w:t>2.73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138,675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1,024</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2.96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142,659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1,350</w:t>
            </w:r>
          </w:p>
        </w:tc>
        <w:tc>
          <w:tcPr>
            <w:tcW w:w="80" w:type="dxa"/>
            <w:vAlign w:val="bottom"/>
          </w:tcPr>
          <w:p>
            <w:pPr>
              <w:spacing w:after="0"/>
              <w:rPr>
                <w:sz w:val="8"/>
                <w:szCs w:val="8"/>
                <w:color w:val="auto"/>
              </w:rPr>
            </w:pPr>
          </w:p>
        </w:tc>
        <w:tc>
          <w:tcPr>
            <w:tcW w:w="940" w:type="dxa"/>
            <w:vAlign w:val="bottom"/>
          </w:tcPr>
          <w:p>
            <w:pPr>
              <w:jc w:val="right"/>
              <w:ind w:right="64"/>
              <w:spacing w:after="0"/>
              <w:rPr>
                <w:sz w:val="20"/>
                <w:szCs w:val="20"/>
                <w:color w:val="auto"/>
              </w:rPr>
            </w:pPr>
            <w:r>
              <w:rPr>
                <w:rFonts w:ascii="Arial" w:cs="Arial" w:eastAsia="Arial" w:hAnsi="Arial"/>
                <w:sz w:val="7"/>
                <w:szCs w:val="7"/>
                <w:color w:val="auto"/>
              </w:rPr>
              <w:t>3.75</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Other</w:t>
            </w: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17,807</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128</w:t>
            </w:r>
          </w:p>
        </w:tc>
        <w:tc>
          <w:tcPr>
            <w:tcW w:w="8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2.88</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17,455</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184</w:t>
            </w:r>
          </w:p>
        </w:tc>
        <w:tc>
          <w:tcPr>
            <w:tcW w:w="8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4.20</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12,540</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144</w:t>
            </w:r>
          </w:p>
        </w:tc>
        <w:tc>
          <w:tcPr>
            <w:tcW w:w="8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4.51</w:t>
            </w:r>
          </w:p>
        </w:tc>
        <w:tc>
          <w:tcPr>
            <w:tcW w:w="0" w:type="dxa"/>
            <w:vAlign w:val="bottom"/>
          </w:tcPr>
          <w:p>
            <w:pPr>
              <w:spacing w:after="0"/>
              <w:rPr>
                <w:sz w:val="1"/>
                <w:szCs w:val="1"/>
                <w:color w:val="auto"/>
              </w:rPr>
            </w:pPr>
          </w:p>
        </w:tc>
      </w:tr>
      <w:tr>
        <w:trPr>
          <w:trHeight w:val="90"/>
        </w:trPr>
        <w:tc>
          <w:tcPr>
            <w:tcW w:w="2580" w:type="dxa"/>
            <w:vAlign w:val="bottom"/>
          </w:tcPr>
          <w:p>
            <w:pPr>
              <w:ind w:left="120"/>
              <w:spacing w:after="0"/>
              <w:rPr>
                <w:sz w:val="20"/>
                <w:szCs w:val="20"/>
                <w:color w:val="auto"/>
              </w:rPr>
            </w:pPr>
            <w:r>
              <w:rPr>
                <w:rFonts w:ascii="Arial" w:cs="Arial" w:eastAsia="Arial" w:hAnsi="Arial"/>
                <w:sz w:val="7"/>
                <w:szCs w:val="7"/>
                <w:color w:val="auto"/>
              </w:rPr>
              <w:t>Total interest-earning assets</w:t>
            </w: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6,418,825</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90,662</w:t>
            </w:r>
          </w:p>
        </w:tc>
        <w:tc>
          <w:tcPr>
            <w:tcW w:w="80" w:type="dxa"/>
            <w:vAlign w:val="bottom"/>
          </w:tcPr>
          <w:p>
            <w:pPr>
              <w:spacing w:after="0"/>
              <w:rPr>
                <w:sz w:val="7"/>
                <w:szCs w:val="7"/>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5.60 %</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6,405,136</w:t>
            </w:r>
          </w:p>
        </w:tc>
        <w:tc>
          <w:tcPr>
            <w:tcW w:w="16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88,583</w:t>
            </w:r>
          </w:p>
        </w:tc>
        <w:tc>
          <w:tcPr>
            <w:tcW w:w="80" w:type="dxa"/>
            <w:vAlign w:val="bottom"/>
          </w:tcPr>
          <w:p>
            <w:pPr>
              <w:spacing w:after="0"/>
              <w:rPr>
                <w:sz w:val="7"/>
                <w:szCs w:val="7"/>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5.55 %</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4,800,519</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64,336</w:t>
            </w:r>
          </w:p>
        </w:tc>
        <w:tc>
          <w:tcPr>
            <w:tcW w:w="80" w:type="dxa"/>
            <w:vAlign w:val="bottom"/>
          </w:tcPr>
          <w:p>
            <w:pPr>
              <w:spacing w:after="0"/>
              <w:rPr>
                <w:sz w:val="7"/>
                <w:szCs w:val="7"/>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5.32 %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Allowance for credit losses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(60,865)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(60,590)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(41,711)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58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Noninterest-earning assets</w:t>
            </w: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381,651</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389,370</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268,353</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7"/>
                <w:szCs w:val="7"/>
                <w:b w:val="1"/>
                <w:bCs w:val="1"/>
                <w:color w:val="auto"/>
              </w:rPr>
              <w:t>Total assets</w:t>
            </w: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6,739,611</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6,733,916</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5,027,161</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LIABILITIES AND STOCKHOLDERS' EQUITY</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580" w:type="dxa"/>
            <w:vAlign w:val="bottom"/>
          </w:tcPr>
          <w:p>
            <w:pPr>
              <w:spacing w:after="0"/>
              <w:rPr>
                <w:sz w:val="20"/>
                <w:szCs w:val="20"/>
                <w:color w:val="auto"/>
              </w:rPr>
            </w:pPr>
            <w:r>
              <w:rPr>
                <w:rFonts w:ascii="Arial" w:cs="Arial" w:eastAsia="Arial" w:hAnsi="Arial"/>
                <w:sz w:val="7"/>
                <w:szCs w:val="7"/>
                <w:b w:val="1"/>
                <w:bCs w:val="1"/>
                <w:color w:val="auto"/>
              </w:rPr>
              <w:t>Liabilities</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Interest-bearing deposits: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ind w:left="120"/>
              <w:spacing w:after="0"/>
              <w:rPr>
                <w:sz w:val="20"/>
                <w:szCs w:val="20"/>
                <w:color w:val="auto"/>
              </w:rPr>
            </w:pPr>
            <w:r>
              <w:rPr>
                <w:rFonts w:ascii="Arial" w:cs="Arial" w:eastAsia="Arial" w:hAnsi="Arial"/>
                <w:sz w:val="7"/>
                <w:szCs w:val="7"/>
                <w:color w:val="auto"/>
              </w:rPr>
              <w:t>Interest-bearing demand</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1,358,462</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2,386</w:t>
            </w:r>
          </w:p>
        </w:tc>
        <w:tc>
          <w:tcPr>
            <w:tcW w:w="8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0.70 %</w:t>
            </w:r>
          </w:p>
        </w:tc>
        <w:tc>
          <w:tcPr>
            <w:tcW w:w="10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1,359,038</w:t>
            </w:r>
          </w:p>
        </w:tc>
        <w:tc>
          <w:tcPr>
            <w:tcW w:w="16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2,238</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0.66 %</w:t>
            </w:r>
          </w:p>
        </w:tc>
        <w:tc>
          <w:tcPr>
            <w:tcW w:w="8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1,113,391</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1,676</w:t>
            </w:r>
          </w:p>
        </w:tc>
        <w:tc>
          <w:tcPr>
            <w:tcW w:w="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0.60 %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120"/>
              <w:spacing w:after="0"/>
              <w:rPr>
                <w:sz w:val="20"/>
                <w:szCs w:val="20"/>
                <w:color w:val="auto"/>
              </w:rPr>
            </w:pPr>
            <w:r>
              <w:rPr>
                <w:rFonts w:ascii="Arial" w:cs="Arial" w:eastAsia="Arial" w:hAnsi="Arial"/>
                <w:sz w:val="7"/>
                <w:szCs w:val="7"/>
                <w:color w:val="auto"/>
              </w:rPr>
              <w:t>Money market</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1,018,285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5,296</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2.06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943,871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4,572</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1.94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833,812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4,638</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2.21</w:t>
            </w:r>
          </w:p>
        </w:tc>
        <w:tc>
          <w:tcPr>
            <w:tcW w:w="0" w:type="dxa"/>
            <w:vAlign w:val="bottom"/>
          </w:tcPr>
          <w:p>
            <w:pPr>
              <w:spacing w:after="0"/>
              <w:rPr>
                <w:sz w:val="1"/>
                <w:szCs w:val="1"/>
                <w:color w:val="auto"/>
              </w:rPr>
            </w:pPr>
          </w:p>
        </w:tc>
      </w:tr>
      <w:tr>
        <w:trPr>
          <w:trHeight w:val="101"/>
        </w:trPr>
        <w:tc>
          <w:tcPr>
            <w:tcW w:w="2580" w:type="dxa"/>
            <w:vAlign w:val="bottom"/>
          </w:tcPr>
          <w:p>
            <w:pPr>
              <w:ind w:left="120"/>
              <w:spacing w:after="0"/>
              <w:rPr>
                <w:sz w:val="20"/>
                <w:szCs w:val="20"/>
                <w:color w:val="auto"/>
              </w:rPr>
            </w:pPr>
            <w:r>
              <w:rPr>
                <w:rFonts w:ascii="Arial" w:cs="Arial" w:eastAsia="Arial" w:hAnsi="Arial"/>
                <w:sz w:val="7"/>
                <w:szCs w:val="7"/>
                <w:color w:val="auto"/>
              </w:rPr>
              <w:t>Savings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841,588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1,212</w:t>
            </w:r>
          </w:p>
        </w:tc>
        <w:tc>
          <w:tcPr>
            <w:tcW w:w="80" w:type="dxa"/>
            <w:vAlign w:val="bottom"/>
          </w:tcPr>
          <w:p>
            <w:pPr>
              <w:spacing w:after="0"/>
              <w:rPr>
                <w:sz w:val="8"/>
                <w:szCs w:val="8"/>
                <w:color w:val="auto"/>
              </w:rPr>
            </w:pPr>
          </w:p>
        </w:tc>
        <w:tc>
          <w:tcPr>
            <w:tcW w:w="920" w:type="dxa"/>
            <w:vAlign w:val="bottom"/>
          </w:tcPr>
          <w:p>
            <w:pPr>
              <w:jc w:val="right"/>
              <w:ind w:right="64"/>
              <w:spacing w:after="0"/>
              <w:rPr>
                <w:sz w:val="20"/>
                <w:szCs w:val="20"/>
                <w:color w:val="auto"/>
              </w:rPr>
            </w:pPr>
            <w:r>
              <w:rPr>
                <w:rFonts w:ascii="Arial" w:cs="Arial" w:eastAsia="Arial" w:hAnsi="Arial"/>
                <w:sz w:val="7"/>
                <w:szCs w:val="7"/>
                <w:color w:val="auto"/>
              </w:rPr>
              <w:t>0.57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864,584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1,209</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0.56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568,001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399</w:t>
            </w:r>
          </w:p>
        </w:tc>
        <w:tc>
          <w:tcPr>
            <w:tcW w:w="80" w:type="dxa"/>
            <w:vAlign w:val="bottom"/>
          </w:tcPr>
          <w:p>
            <w:pPr>
              <w:spacing w:after="0"/>
              <w:rPr>
                <w:sz w:val="8"/>
                <w:szCs w:val="8"/>
                <w:color w:val="auto"/>
              </w:rPr>
            </w:pPr>
          </w:p>
        </w:tc>
        <w:tc>
          <w:tcPr>
            <w:tcW w:w="940" w:type="dxa"/>
            <w:vAlign w:val="bottom"/>
          </w:tcPr>
          <w:p>
            <w:pPr>
              <w:jc w:val="right"/>
              <w:ind w:right="64"/>
              <w:spacing w:after="0"/>
              <w:rPr>
                <w:sz w:val="20"/>
                <w:szCs w:val="20"/>
                <w:color w:val="auto"/>
              </w:rPr>
            </w:pPr>
            <w:r>
              <w:rPr>
                <w:rFonts w:ascii="Arial" w:cs="Arial" w:eastAsia="Arial" w:hAnsi="Arial"/>
                <w:sz w:val="7"/>
                <w:szCs w:val="7"/>
                <w:color w:val="auto"/>
              </w:rPr>
              <w:t>0.28</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120"/>
              <w:spacing w:after="0"/>
              <w:rPr>
                <w:sz w:val="20"/>
                <w:szCs w:val="20"/>
                <w:color w:val="auto"/>
              </w:rPr>
            </w:pPr>
            <w:r>
              <w:rPr>
                <w:rFonts w:ascii="Arial" w:cs="Arial" w:eastAsia="Arial" w:hAnsi="Arial"/>
                <w:sz w:val="7"/>
                <w:szCs w:val="7"/>
                <w:color w:val="auto"/>
              </w:rPr>
              <w:t>Time</w:t>
            </w: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1,222,696</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9,228</w:t>
            </w:r>
          </w:p>
        </w:tc>
        <w:tc>
          <w:tcPr>
            <w:tcW w:w="80" w:type="dxa"/>
            <w:vAlign w:val="bottom"/>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2.99</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1,247,241</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9,234</w:t>
            </w:r>
          </w:p>
        </w:tc>
        <w:tc>
          <w:tcPr>
            <w:tcW w:w="8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2.97</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771,360</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6,282</w:t>
            </w:r>
          </w:p>
        </w:tc>
        <w:tc>
          <w:tcPr>
            <w:tcW w:w="8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3.23</w:t>
            </w:r>
          </w:p>
        </w:tc>
        <w:tc>
          <w:tcPr>
            <w:tcW w:w="0" w:type="dxa"/>
            <w:vAlign w:val="bottom"/>
          </w:tcPr>
          <w:p>
            <w:pPr>
              <w:spacing w:after="0"/>
              <w:rPr>
                <w:sz w:val="1"/>
                <w:szCs w:val="1"/>
                <w:color w:val="auto"/>
              </w:rPr>
            </w:pPr>
          </w:p>
        </w:tc>
      </w:tr>
      <w:tr>
        <w:trPr>
          <w:trHeight w:val="90"/>
        </w:trPr>
        <w:tc>
          <w:tcPr>
            <w:tcW w:w="2580" w:type="dxa"/>
            <w:vAlign w:val="bottom"/>
          </w:tcPr>
          <w:p>
            <w:pPr>
              <w:ind w:left="160"/>
              <w:spacing w:after="0"/>
              <w:rPr>
                <w:sz w:val="20"/>
                <w:szCs w:val="20"/>
                <w:color w:val="auto"/>
              </w:rPr>
            </w:pPr>
            <w:r>
              <w:rPr>
                <w:rFonts w:ascii="Arial" w:cs="Arial" w:eastAsia="Arial" w:hAnsi="Arial"/>
                <w:sz w:val="7"/>
                <w:szCs w:val="7"/>
                <w:color w:val="auto"/>
              </w:rPr>
              <w:t>Total interest-bearing deposits</w:t>
            </w: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4,441,031</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18,122</w:t>
            </w:r>
          </w:p>
        </w:tc>
        <w:tc>
          <w:tcPr>
            <w:tcW w:w="80" w:type="dxa"/>
            <w:vAlign w:val="bottom"/>
          </w:tcPr>
          <w:p>
            <w:pPr>
              <w:spacing w:after="0"/>
              <w:rPr>
                <w:sz w:val="7"/>
                <w:szCs w:val="7"/>
                <w:color w:val="auto"/>
              </w:rPr>
            </w:pPr>
          </w:p>
        </w:tc>
        <w:tc>
          <w:tcPr>
            <w:tcW w:w="920" w:type="dxa"/>
            <w:vAlign w:val="bottom"/>
          </w:tcPr>
          <w:p>
            <w:pPr>
              <w:jc w:val="right"/>
              <w:ind w:right="64"/>
              <w:spacing w:after="0"/>
              <w:rPr>
                <w:sz w:val="20"/>
                <w:szCs w:val="20"/>
                <w:color w:val="auto"/>
              </w:rPr>
            </w:pPr>
            <w:r>
              <w:rPr>
                <w:rFonts w:ascii="Arial" w:cs="Arial" w:eastAsia="Arial" w:hAnsi="Arial"/>
                <w:sz w:val="7"/>
                <w:szCs w:val="7"/>
                <w:color w:val="auto"/>
              </w:rPr>
              <w:t>1.62</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4,414,734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17,253</w:t>
            </w:r>
          </w:p>
        </w:tc>
        <w:tc>
          <w:tcPr>
            <w:tcW w:w="80" w:type="dxa"/>
            <w:vAlign w:val="bottom"/>
          </w:tcPr>
          <w:p>
            <w:pPr>
              <w:spacing w:after="0"/>
              <w:rPr>
                <w:sz w:val="7"/>
                <w:szCs w:val="7"/>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1.57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3,286,564</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12,995</w:t>
            </w:r>
          </w:p>
        </w:tc>
        <w:tc>
          <w:tcPr>
            <w:tcW w:w="80" w:type="dxa"/>
            <w:vAlign w:val="bottom"/>
          </w:tcPr>
          <w:p>
            <w:pPr>
              <w:spacing w:after="0"/>
              <w:rPr>
                <w:sz w:val="7"/>
                <w:szCs w:val="7"/>
                <w:color w:val="auto"/>
              </w:rPr>
            </w:pPr>
          </w:p>
        </w:tc>
        <w:tc>
          <w:tcPr>
            <w:tcW w:w="940" w:type="dxa"/>
            <w:vAlign w:val="bottom"/>
          </w:tcPr>
          <w:p>
            <w:pPr>
              <w:jc w:val="right"/>
              <w:ind w:right="64"/>
              <w:spacing w:after="0"/>
              <w:rPr>
                <w:sz w:val="20"/>
                <w:szCs w:val="20"/>
                <w:color w:val="auto"/>
              </w:rPr>
            </w:pPr>
            <w:r>
              <w:rPr>
                <w:rFonts w:ascii="Arial" w:cs="Arial" w:eastAsia="Arial" w:hAnsi="Arial"/>
                <w:sz w:val="7"/>
                <w:szCs w:val="7"/>
                <w:color w:val="auto"/>
              </w:rPr>
              <w:t>1.57</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Securities sold under agreements to repurchase</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7"/>
                <w:szCs w:val="7"/>
                <w:color w:val="auto"/>
              </w:rPr>
              <w:t>—</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2,492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2.34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1"/>
        </w:trPr>
        <w:tc>
          <w:tcPr>
            <w:tcW w:w="2580" w:type="dxa"/>
            <w:vAlign w:val="bottom"/>
          </w:tcPr>
          <w:p>
            <w:pPr>
              <w:ind w:left="60"/>
              <w:spacing w:after="0"/>
              <w:rPr>
                <w:sz w:val="20"/>
                <w:szCs w:val="20"/>
                <w:color w:val="auto"/>
              </w:rPr>
            </w:pPr>
            <w:r>
              <w:rPr>
                <w:rFonts w:ascii="Arial" w:cs="Arial" w:eastAsia="Arial" w:hAnsi="Arial"/>
                <w:sz w:val="7"/>
                <w:szCs w:val="7"/>
                <w:color w:val="auto"/>
              </w:rPr>
              <w:t>Borrowings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19,701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126</w:t>
            </w:r>
          </w:p>
        </w:tc>
        <w:tc>
          <w:tcPr>
            <w:tcW w:w="80" w:type="dxa"/>
            <w:vAlign w:val="bottom"/>
          </w:tcPr>
          <w:p>
            <w:pPr>
              <w:spacing w:after="0"/>
              <w:rPr>
                <w:sz w:val="8"/>
                <w:szCs w:val="8"/>
                <w:color w:val="auto"/>
              </w:rPr>
            </w:pPr>
          </w:p>
        </w:tc>
        <w:tc>
          <w:tcPr>
            <w:tcW w:w="920" w:type="dxa"/>
            <w:vAlign w:val="bottom"/>
          </w:tcPr>
          <w:p>
            <w:pPr>
              <w:jc w:val="right"/>
              <w:ind w:right="64"/>
              <w:spacing w:after="0"/>
              <w:rPr>
                <w:sz w:val="20"/>
                <w:szCs w:val="20"/>
                <w:color w:val="auto"/>
              </w:rPr>
            </w:pPr>
            <w:r>
              <w:rPr>
                <w:rFonts w:ascii="Arial" w:cs="Arial" w:eastAsia="Arial" w:hAnsi="Arial"/>
                <w:sz w:val="7"/>
                <w:szCs w:val="7"/>
                <w:color w:val="auto"/>
              </w:rPr>
              <w:t>2.53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24,721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170</w:t>
            </w: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2.76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7,256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31</w:t>
            </w:r>
          </w:p>
        </w:tc>
        <w:tc>
          <w:tcPr>
            <w:tcW w:w="80" w:type="dxa"/>
            <w:vAlign w:val="bottom"/>
          </w:tcPr>
          <w:p>
            <w:pPr>
              <w:spacing w:after="0"/>
              <w:rPr>
                <w:sz w:val="8"/>
                <w:szCs w:val="8"/>
                <w:color w:val="auto"/>
              </w:rPr>
            </w:pPr>
          </w:p>
        </w:tc>
        <w:tc>
          <w:tcPr>
            <w:tcW w:w="940" w:type="dxa"/>
            <w:vAlign w:val="bottom"/>
          </w:tcPr>
          <w:p>
            <w:pPr>
              <w:jc w:val="right"/>
              <w:ind w:right="64"/>
              <w:spacing w:after="0"/>
              <w:rPr>
                <w:sz w:val="20"/>
                <w:szCs w:val="20"/>
                <w:color w:val="auto"/>
              </w:rPr>
            </w:pPr>
            <w:r>
              <w:rPr>
                <w:rFonts w:ascii="Arial" w:cs="Arial" w:eastAsia="Arial" w:hAnsi="Arial"/>
                <w:sz w:val="7"/>
                <w:szCs w:val="7"/>
                <w:color w:val="auto"/>
              </w:rPr>
              <w:t>1.68</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Subordinated notes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84,038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1,233</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5.82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84,013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1,245</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5.94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32,714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387</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4.69</w:t>
            </w:r>
          </w:p>
        </w:tc>
        <w:tc>
          <w:tcPr>
            <w:tcW w:w="0" w:type="dxa"/>
            <w:vAlign w:val="bottom"/>
          </w:tcPr>
          <w:p>
            <w:pPr>
              <w:spacing w:after="0"/>
              <w:rPr>
                <w:sz w:val="1"/>
                <w:szCs w:val="1"/>
                <w:color w:val="auto"/>
              </w:rPr>
            </w:pPr>
          </w:p>
        </w:tc>
      </w:tr>
      <w:tr>
        <w:trPr>
          <w:trHeight w:val="101"/>
        </w:trPr>
        <w:tc>
          <w:tcPr>
            <w:tcW w:w="258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Junior subordinated debentures issued to capital trusts</w:t>
            </w: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52,946</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860</w:t>
            </w:r>
          </w:p>
        </w:tc>
        <w:tc>
          <w:tcPr>
            <w:tcW w:w="80" w:type="dxa"/>
            <w:vAlign w:val="bottom"/>
            <w:tcBorders>
              <w:bottom w:val="single" w:sz="8" w:color="CCEEFF"/>
            </w:tcBorders>
          </w:tcPr>
          <w:p>
            <w:pPr>
              <w:spacing w:after="0"/>
              <w:rPr>
                <w:sz w:val="8"/>
                <w:szCs w:val="8"/>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6.45</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52,930</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845</w:t>
            </w:r>
          </w:p>
        </w:tc>
        <w:tc>
          <w:tcPr>
            <w:tcW w:w="8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7"/>
                <w:szCs w:val="7"/>
                <w:color w:val="auto"/>
              </w:rPr>
              <w:t>6.40</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52,887</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937</w:t>
            </w:r>
          </w:p>
        </w:tc>
        <w:tc>
          <w:tcPr>
            <w:tcW w:w="8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7.04</w:t>
            </w:r>
          </w:p>
        </w:tc>
        <w:tc>
          <w:tcPr>
            <w:tcW w:w="0" w:type="dxa"/>
            <w:vAlign w:val="bottom"/>
          </w:tcPr>
          <w:p>
            <w:pPr>
              <w:spacing w:after="0"/>
              <w:rPr>
                <w:sz w:val="1"/>
                <w:szCs w:val="1"/>
                <w:color w:val="auto"/>
              </w:rPr>
            </w:pPr>
          </w:p>
        </w:tc>
      </w:tr>
      <w:tr>
        <w:trPr>
          <w:trHeight w:val="104"/>
        </w:trPr>
        <w:tc>
          <w:tcPr>
            <w:tcW w:w="2580" w:type="dxa"/>
            <w:vAlign w:val="bottom"/>
            <w:shd w:val="clear" w:color="auto" w:fill="CCEEFF"/>
          </w:tcPr>
          <w:p>
            <w:pPr>
              <w:ind w:left="120"/>
              <w:spacing w:after="0"/>
              <w:rPr>
                <w:sz w:val="20"/>
                <w:szCs w:val="20"/>
                <w:color w:val="auto"/>
              </w:rPr>
            </w:pPr>
            <w:r>
              <w:rPr>
                <w:rFonts w:ascii="Arial" w:cs="Arial" w:eastAsia="Arial" w:hAnsi="Arial"/>
                <w:sz w:val="7"/>
                <w:szCs w:val="7"/>
                <w:color w:val="auto"/>
              </w:rPr>
              <w:t>Total interest-bearing liabilities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4,597,716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20,341</w:t>
            </w: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7"/>
                <w:szCs w:val="7"/>
                <w:color w:val="auto"/>
              </w:rPr>
              <w:t>1.76 %</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4,578,890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19,527</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1.71 %</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3,379,427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14,350</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7"/>
                <w:szCs w:val="7"/>
                <w:color w:val="auto"/>
              </w:rPr>
              <w:t>1.68 %</w:t>
            </w:r>
          </w:p>
        </w:tc>
        <w:tc>
          <w:tcPr>
            <w:tcW w:w="0" w:type="dxa"/>
            <w:vAlign w:val="bottom"/>
          </w:tcPr>
          <w:p>
            <w:pPr>
              <w:spacing w:after="0"/>
              <w:rPr>
                <w:sz w:val="1"/>
                <w:szCs w:val="1"/>
                <w:color w:val="auto"/>
              </w:rPr>
            </w:pPr>
          </w:p>
        </w:tc>
      </w:tr>
      <w:tr>
        <w:trPr>
          <w:trHeight w:val="81"/>
        </w:trPr>
        <w:tc>
          <w:tcPr>
            <w:tcW w:w="2580" w:type="dxa"/>
            <w:vAlign w:val="bottom"/>
          </w:tcPr>
          <w:p>
            <w:pPr>
              <w:ind w:left="60"/>
              <w:spacing w:after="0" w:line="74" w:lineRule="exact"/>
              <w:rPr>
                <w:sz w:val="20"/>
                <w:szCs w:val="20"/>
                <w:color w:val="auto"/>
              </w:rPr>
            </w:pPr>
            <w:r>
              <w:rPr>
                <w:rFonts w:ascii="Arial" w:cs="Arial" w:eastAsia="Arial" w:hAnsi="Arial"/>
                <w:sz w:val="7"/>
                <w:szCs w:val="7"/>
                <w:color w:val="auto"/>
              </w:rPr>
              <w:t>Noninterest-bearing deposits</w:t>
            </w:r>
          </w:p>
        </w:tc>
        <w:tc>
          <w:tcPr>
            <w:tcW w:w="100" w:type="dxa"/>
            <w:vAlign w:val="bottom"/>
          </w:tcPr>
          <w:p>
            <w:pPr>
              <w:spacing w:after="0"/>
              <w:rPr>
                <w:sz w:val="7"/>
                <w:szCs w:val="7"/>
                <w:color w:val="auto"/>
              </w:rPr>
            </w:pPr>
          </w:p>
        </w:tc>
        <w:tc>
          <w:tcPr>
            <w:tcW w:w="760" w:type="dxa"/>
            <w:vAlign w:val="bottom"/>
          </w:tcPr>
          <w:p>
            <w:pPr>
              <w:jc w:val="right"/>
              <w:spacing w:after="0" w:line="74" w:lineRule="exact"/>
              <w:rPr>
                <w:sz w:val="20"/>
                <w:szCs w:val="20"/>
                <w:color w:val="auto"/>
              </w:rPr>
            </w:pPr>
            <w:r>
              <w:rPr>
                <w:rFonts w:ascii="Arial" w:cs="Arial" w:eastAsia="Arial" w:hAnsi="Arial"/>
                <w:sz w:val="7"/>
                <w:szCs w:val="7"/>
                <w:color w:val="auto"/>
              </w:rPr>
              <w:t>1,314,588</w:t>
            </w: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ind w:right="4"/>
              <w:spacing w:after="0" w:line="74" w:lineRule="exact"/>
              <w:rPr>
                <w:sz w:val="20"/>
                <w:szCs w:val="20"/>
                <w:color w:val="auto"/>
              </w:rPr>
            </w:pPr>
            <w:r>
              <w:rPr>
                <w:rFonts w:ascii="Arial" w:cs="Arial" w:eastAsia="Arial" w:hAnsi="Arial"/>
                <w:sz w:val="7"/>
                <w:szCs w:val="7"/>
                <w:color w:val="auto"/>
              </w:rPr>
              <w:t>1,336,123</w:t>
            </w: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line="74" w:lineRule="exact"/>
              <w:rPr>
                <w:sz w:val="20"/>
                <w:szCs w:val="20"/>
                <w:color w:val="auto"/>
              </w:rPr>
            </w:pPr>
            <w:r>
              <w:rPr>
                <w:rFonts w:ascii="Arial" w:cs="Arial" w:eastAsia="Arial" w:hAnsi="Arial"/>
                <w:sz w:val="7"/>
                <w:szCs w:val="7"/>
                <w:color w:val="auto"/>
              </w:rPr>
              <w:t>1,028,608</w:t>
            </w: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Noninterest-bearing liabilities</w:t>
            </w: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57,071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60,660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30,050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80" w:type="dxa"/>
            <w:vAlign w:val="bottom"/>
          </w:tcPr>
          <w:p>
            <w:pPr>
              <w:ind w:left="120"/>
              <w:spacing w:after="0"/>
              <w:rPr>
                <w:sz w:val="20"/>
                <w:szCs w:val="20"/>
                <w:color w:val="auto"/>
              </w:rPr>
            </w:pPr>
            <w:r>
              <w:rPr>
                <w:rFonts w:ascii="Arial" w:cs="Arial" w:eastAsia="Arial" w:hAnsi="Arial"/>
                <w:sz w:val="7"/>
                <w:szCs w:val="7"/>
                <w:b w:val="1"/>
                <w:bCs w:val="1"/>
                <w:color w:val="auto"/>
              </w:rPr>
              <w:t>Total liabilities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5,969,375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5,975,673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4,438,085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Stockholders' Equity</w:t>
            </w:r>
          </w:p>
        </w:tc>
        <w:tc>
          <w:tcPr>
            <w:tcW w:w="10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770,236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758,243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589,076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580" w:type="dxa"/>
            <w:vAlign w:val="bottom"/>
            <w:tcBorders>
              <w:bottom w:val="single" w:sz="8" w:color="CCEEFF"/>
            </w:tcBorders>
          </w:tcPr>
          <w:p>
            <w:pPr>
              <w:ind w:left="120"/>
              <w:spacing w:after="0"/>
              <w:rPr>
                <w:sz w:val="20"/>
                <w:szCs w:val="20"/>
                <w:color w:val="auto"/>
              </w:rPr>
            </w:pPr>
            <w:r>
              <w:rPr>
                <w:rFonts w:ascii="Arial" w:cs="Arial" w:eastAsia="Arial" w:hAnsi="Arial"/>
                <w:sz w:val="7"/>
                <w:szCs w:val="7"/>
                <w:b w:val="1"/>
                <w:bCs w:val="1"/>
                <w:color w:val="auto"/>
              </w:rPr>
              <w:t>Total liabilities and stockholders’ equity</w:t>
            </w: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6,739,611</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6,733,916</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5,027,161</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20"/>
                <w:szCs w:val="20"/>
                <w:color w:val="auto"/>
              </w:rPr>
            </w:pPr>
            <w:r>
              <w:rPr>
                <w:rFonts w:ascii="Arial" w:cs="Arial" w:eastAsia="Arial" w:hAnsi="Arial"/>
                <w:sz w:val="7"/>
                <w:szCs w:val="7"/>
                <w:color w:val="auto"/>
              </w:rPr>
              <w:t xml:space="preserve">Net interest income/Net interest margin </w:t>
            </w:r>
            <w:r>
              <w:rPr>
                <w:rFonts w:ascii="Arial" w:cs="Arial" w:eastAsia="Arial" w:hAnsi="Arial"/>
                <w:sz w:val="9"/>
                <w:szCs w:val="9"/>
                <w:color w:val="auto"/>
                <w:vertAlign w:val="superscript"/>
              </w:rPr>
              <w:t>(1)</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70,321</w:t>
            </w:r>
          </w:p>
        </w:tc>
        <w:tc>
          <w:tcPr>
            <w:tcW w:w="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4.35 %</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
              <w:spacing w:after="0"/>
              <w:rPr>
                <w:sz w:val="20"/>
                <w:szCs w:val="20"/>
                <w:color w:val="auto"/>
              </w:rPr>
            </w:pPr>
            <w:r>
              <w:rPr>
                <w:rFonts w:ascii="Arial" w:cs="Arial" w:eastAsia="Arial" w:hAnsi="Arial"/>
                <w:sz w:val="7"/>
                <w:szCs w:val="7"/>
                <w:color w:val="auto"/>
              </w:rPr>
              <w:t>69,056</w:t>
            </w:r>
          </w:p>
        </w:tc>
        <w:tc>
          <w:tcPr>
            <w:tcW w:w="80" w:type="dxa"/>
            <w:vAlign w:val="bottom"/>
          </w:tcPr>
          <w:p>
            <w:pPr>
              <w:spacing w:after="0"/>
              <w:rPr>
                <w:sz w:val="9"/>
                <w:szCs w:val="9"/>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4.32 %</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49,986</w:t>
            </w:r>
          </w:p>
        </w:tc>
        <w:tc>
          <w:tcPr>
            <w:tcW w:w="80" w:type="dxa"/>
            <w:vAlign w:val="bottom"/>
          </w:tcPr>
          <w:p>
            <w:pPr>
              <w:spacing w:after="0"/>
              <w:rPr>
                <w:sz w:val="9"/>
                <w:szCs w:val="9"/>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4.13 %</w:t>
            </w: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color w:val="auto"/>
              </w:rPr>
              <w:t xml:space="preserve">Tax-equivalent adjustment </w:t>
            </w:r>
            <w:r>
              <w:rPr>
                <w:rFonts w:ascii="Arial" w:cs="Arial" w:eastAsia="Arial" w:hAnsi="Arial"/>
                <w:sz w:val="9"/>
                <w:szCs w:val="9"/>
                <w:color w:val="auto"/>
                <w:vertAlign w:val="superscript"/>
              </w:rPr>
              <w:t>(2)</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869</w:t>
            </w:r>
          </w:p>
        </w:tc>
        <w:tc>
          <w:tcPr>
            <w:tcW w:w="80" w:type="dxa"/>
            <w:vAlign w:val="bottom"/>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0.05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851</w:t>
            </w:r>
          </w:p>
        </w:tc>
        <w:tc>
          <w:tcPr>
            <w:tcW w:w="80" w:type="dxa"/>
            <w:vAlign w:val="bottom"/>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0.06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552</w:t>
            </w:r>
          </w:p>
        </w:tc>
        <w:tc>
          <w:tcPr>
            <w:tcW w:w="80" w:type="dxa"/>
            <w:vAlign w:val="bottom"/>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0.05</w:t>
            </w:r>
          </w:p>
        </w:tc>
        <w:tc>
          <w:tcPr>
            <w:tcW w:w="0" w:type="dxa"/>
            <w:vAlign w:val="bottom"/>
          </w:tcPr>
          <w:p>
            <w:pPr>
              <w:spacing w:after="0"/>
              <w:rPr>
                <w:sz w:val="1"/>
                <w:szCs w:val="1"/>
                <w:color w:val="auto"/>
              </w:rPr>
            </w:pPr>
          </w:p>
        </w:tc>
      </w:tr>
      <w:tr>
        <w:trPr>
          <w:trHeight w:val="52"/>
        </w:trPr>
        <w:tc>
          <w:tcPr>
            <w:tcW w:w="2580" w:type="dxa"/>
            <w:vAlign w:val="bottom"/>
          </w:tcPr>
          <w:p>
            <w:pPr>
              <w:spacing w:after="0" w:line="52" w:lineRule="exact"/>
              <w:rPr>
                <w:sz w:val="20"/>
                <w:szCs w:val="20"/>
                <w:color w:val="auto"/>
              </w:rPr>
            </w:pPr>
            <w:r>
              <w:rPr>
                <w:rFonts w:ascii="Arial" w:cs="Arial" w:eastAsia="Arial" w:hAnsi="Arial"/>
                <w:sz w:val="6"/>
                <w:szCs w:val="6"/>
                <w:color w:val="auto"/>
              </w:rPr>
              <w:t>Net interest income (tax-equivalent basis)/</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vMerge w:val="restart"/>
          </w:tcPr>
          <w:p>
            <w:pPr>
              <w:jc w:val="right"/>
              <w:ind w:right="4"/>
              <w:spacing w:after="0"/>
              <w:rPr>
                <w:sz w:val="20"/>
                <w:szCs w:val="20"/>
                <w:color w:val="auto"/>
              </w:rPr>
            </w:pPr>
            <w:r>
              <w:rPr>
                <w:rFonts w:ascii="Arial" w:cs="Arial" w:eastAsia="Arial" w:hAnsi="Arial"/>
                <w:sz w:val="7"/>
                <w:szCs w:val="7"/>
                <w:color w:val="auto"/>
              </w:rPr>
              <w:t>71,190</w:t>
            </w:r>
          </w:p>
        </w:tc>
        <w:tc>
          <w:tcPr>
            <w:tcW w:w="80" w:type="dxa"/>
            <w:vAlign w:val="bottom"/>
          </w:tcPr>
          <w:p>
            <w:pPr>
              <w:spacing w:after="0"/>
              <w:rPr>
                <w:sz w:val="4"/>
                <w:szCs w:val="4"/>
                <w:color w:val="auto"/>
              </w:rPr>
            </w:pPr>
          </w:p>
        </w:tc>
        <w:tc>
          <w:tcPr>
            <w:tcW w:w="920" w:type="dxa"/>
            <w:vAlign w:val="bottom"/>
            <w:vMerge w:val="restart"/>
          </w:tcPr>
          <w:p>
            <w:pPr>
              <w:jc w:val="right"/>
              <w:spacing w:after="0"/>
              <w:rPr>
                <w:sz w:val="20"/>
                <w:szCs w:val="20"/>
                <w:color w:val="auto"/>
              </w:rPr>
            </w:pPr>
            <w:r>
              <w:rPr>
                <w:rFonts w:ascii="Arial" w:cs="Arial" w:eastAsia="Arial" w:hAnsi="Arial"/>
                <w:sz w:val="7"/>
                <w:szCs w:val="7"/>
                <w:color w:val="auto"/>
              </w:rPr>
              <w:t>4.40 %</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7"/>
                <w:szCs w:val="7"/>
                <w:color w:val="auto"/>
              </w:rPr>
              <w:t>$</w:t>
            </w:r>
          </w:p>
        </w:tc>
        <w:tc>
          <w:tcPr>
            <w:tcW w:w="800" w:type="dxa"/>
            <w:vAlign w:val="bottom"/>
            <w:vMerge w:val="restart"/>
          </w:tcPr>
          <w:p>
            <w:pPr>
              <w:jc w:val="right"/>
              <w:ind w:right="4"/>
              <w:spacing w:after="0"/>
              <w:rPr>
                <w:sz w:val="20"/>
                <w:szCs w:val="20"/>
                <w:color w:val="auto"/>
              </w:rPr>
            </w:pPr>
            <w:r>
              <w:rPr>
                <w:rFonts w:ascii="Arial" w:cs="Arial" w:eastAsia="Arial" w:hAnsi="Arial"/>
                <w:sz w:val="7"/>
                <w:szCs w:val="7"/>
                <w:color w:val="auto"/>
              </w:rPr>
              <w:t>69,907</w:t>
            </w:r>
          </w:p>
        </w:tc>
        <w:tc>
          <w:tcPr>
            <w:tcW w:w="80" w:type="dxa"/>
            <w:vAlign w:val="bottom"/>
          </w:tcPr>
          <w:p>
            <w:pPr>
              <w:spacing w:after="0"/>
              <w:rPr>
                <w:sz w:val="4"/>
                <w:szCs w:val="4"/>
                <w:color w:val="auto"/>
              </w:rPr>
            </w:pPr>
          </w:p>
        </w:tc>
        <w:tc>
          <w:tcPr>
            <w:tcW w:w="940" w:type="dxa"/>
            <w:vAlign w:val="bottom"/>
            <w:vMerge w:val="restart"/>
          </w:tcPr>
          <w:p>
            <w:pPr>
              <w:ind w:left="700"/>
              <w:spacing w:after="0"/>
              <w:rPr>
                <w:sz w:val="20"/>
                <w:szCs w:val="20"/>
                <w:color w:val="auto"/>
              </w:rPr>
            </w:pPr>
            <w:r>
              <w:rPr>
                <w:rFonts w:ascii="Arial" w:cs="Arial" w:eastAsia="Arial" w:hAnsi="Arial"/>
                <w:sz w:val="7"/>
                <w:szCs w:val="7"/>
                <w:color w:val="auto"/>
              </w:rPr>
              <w:t>4.38 %</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7"/>
                <w:szCs w:val="7"/>
                <w:color w:val="auto"/>
              </w:rPr>
              <w:t>$</w:t>
            </w:r>
          </w:p>
        </w:tc>
        <w:tc>
          <w:tcPr>
            <w:tcW w:w="780" w:type="dxa"/>
            <w:vAlign w:val="bottom"/>
            <w:vMerge w:val="restart"/>
          </w:tcPr>
          <w:p>
            <w:pPr>
              <w:jc w:val="right"/>
              <w:ind w:right="4"/>
              <w:spacing w:after="0"/>
              <w:rPr>
                <w:sz w:val="20"/>
                <w:szCs w:val="20"/>
                <w:color w:val="auto"/>
              </w:rPr>
            </w:pPr>
            <w:r>
              <w:rPr>
                <w:rFonts w:ascii="Arial" w:cs="Arial" w:eastAsia="Arial" w:hAnsi="Arial"/>
                <w:sz w:val="7"/>
                <w:szCs w:val="7"/>
                <w:color w:val="auto"/>
              </w:rPr>
              <w:t>50,538</w:t>
            </w:r>
          </w:p>
        </w:tc>
        <w:tc>
          <w:tcPr>
            <w:tcW w:w="8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7"/>
                <w:szCs w:val="7"/>
                <w:color w:val="auto"/>
              </w:rPr>
              <w:t>4.18 %</w:t>
            </w:r>
          </w:p>
        </w:tc>
        <w:tc>
          <w:tcPr>
            <w:tcW w:w="0" w:type="dxa"/>
            <w:vAlign w:val="bottom"/>
          </w:tcPr>
          <w:p>
            <w:pPr>
              <w:spacing w:after="0"/>
              <w:rPr>
                <w:sz w:val="1"/>
                <w:szCs w:val="1"/>
                <w:color w:val="auto"/>
              </w:rPr>
            </w:pPr>
          </w:p>
        </w:tc>
      </w:tr>
      <w:tr>
        <w:trPr>
          <w:trHeight w:val="106"/>
        </w:trPr>
        <w:tc>
          <w:tcPr>
            <w:tcW w:w="2580" w:type="dxa"/>
            <w:vAlign w:val="bottom"/>
          </w:tcPr>
          <w:p>
            <w:pPr>
              <w:spacing w:after="0" w:line="90" w:lineRule="exact"/>
              <w:rPr>
                <w:sz w:val="20"/>
                <w:szCs w:val="20"/>
                <w:color w:val="auto"/>
              </w:rPr>
            </w:pPr>
            <w:r>
              <w:rPr>
                <w:rFonts w:ascii="Arial" w:cs="Arial" w:eastAsia="Arial" w:hAnsi="Arial"/>
                <w:sz w:val="7"/>
                <w:szCs w:val="7"/>
                <w:color w:val="auto"/>
              </w:rPr>
              <w:t xml:space="preserve">Net interest margin (tax-equivalent basis) </w:t>
            </w:r>
            <w:r>
              <w:rPr>
                <w:rFonts w:ascii="Arial" w:cs="Arial" w:eastAsia="Arial" w:hAnsi="Arial"/>
                <w:sz w:val="9"/>
                <w:szCs w:val="9"/>
                <w:color w:val="auto"/>
                <w:vertAlign w:val="superscript"/>
              </w:rPr>
              <w:t>(2) (3)</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7"/>
                <w:szCs w:val="7"/>
                <w:color w:val="auto"/>
              </w:rPr>
              <w:t xml:space="preserve">Net interest rate spread </w:t>
            </w:r>
            <w:r>
              <w:rPr>
                <w:rFonts w:ascii="Arial" w:cs="Arial" w:eastAsia="Arial" w:hAnsi="Arial"/>
                <w:sz w:val="9"/>
                <w:szCs w:val="9"/>
                <w:color w:val="auto"/>
                <w:vertAlign w:val="superscript"/>
              </w:rPr>
              <w:t>(4)</w:t>
            </w:r>
          </w:p>
        </w:tc>
        <w:tc>
          <w:tcPr>
            <w:tcW w:w="100" w:type="dxa"/>
            <w:vAlign w:val="bottom"/>
            <w:tcBorders>
              <w:top w:val="single" w:sz="8" w:color="CCEEFF"/>
              <w:bottom w:val="single" w:sz="8" w:color="auto"/>
            </w:tcBorders>
            <w:shd w:val="clear" w:color="auto" w:fill="CCEEFF"/>
          </w:tcPr>
          <w:p>
            <w:pPr>
              <w:spacing w:after="0"/>
              <w:rPr>
                <w:sz w:val="9"/>
                <w:szCs w:val="9"/>
                <w:color w:val="auto"/>
              </w:rPr>
            </w:pPr>
          </w:p>
        </w:tc>
        <w:tc>
          <w:tcPr>
            <w:tcW w:w="76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3.84 %</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auto"/>
            </w:tcBorders>
            <w:shd w:val="clear" w:color="auto" w:fill="CCEEFF"/>
          </w:tcPr>
          <w:p>
            <w:pPr>
              <w:spacing w:after="0"/>
              <w:rPr>
                <w:sz w:val="9"/>
                <w:szCs w:val="9"/>
                <w:color w:val="auto"/>
              </w:rPr>
            </w:pPr>
          </w:p>
        </w:tc>
        <w:tc>
          <w:tcPr>
            <w:tcW w:w="76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3.84 %</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auto"/>
            </w:tcBorders>
            <w:shd w:val="clear" w:color="auto" w:fill="CCEEFF"/>
          </w:tcPr>
          <w:p>
            <w:pPr>
              <w:spacing w:after="0"/>
              <w:rPr>
                <w:sz w:val="9"/>
                <w:szCs w:val="9"/>
                <w:color w:val="auto"/>
              </w:rPr>
            </w:pPr>
          </w:p>
        </w:tc>
        <w:tc>
          <w:tcPr>
            <w:tcW w:w="76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3.64 %</w:t>
            </w:r>
          </w:p>
        </w:tc>
        <w:tc>
          <w:tcPr>
            <w:tcW w:w="0" w:type="dxa"/>
            <w:vAlign w:val="bottom"/>
          </w:tcPr>
          <w:p>
            <w:pPr>
              <w:spacing w:after="0"/>
              <w:rPr>
                <w:sz w:val="1"/>
                <w:szCs w:val="1"/>
                <w:color w:val="auto"/>
              </w:rPr>
            </w:pPr>
          </w:p>
        </w:tc>
      </w:tr>
      <w:tr>
        <w:trPr>
          <w:trHeight w:val="113"/>
        </w:trPr>
        <w:tc>
          <w:tcPr>
            <w:tcW w:w="2580" w:type="dxa"/>
            <w:vAlign w:val="bottom"/>
            <w:tcBorders>
              <w:bottom w:val="single" w:sz="8" w:color="CCEEFF"/>
            </w:tcBorders>
          </w:tcPr>
          <w:p>
            <w:pPr>
              <w:spacing w:after="0" w:line="97" w:lineRule="exact"/>
              <w:rPr>
                <w:sz w:val="20"/>
                <w:szCs w:val="20"/>
                <w:color w:val="auto"/>
              </w:rPr>
            </w:pPr>
            <w:r>
              <w:rPr>
                <w:rFonts w:ascii="Arial" w:cs="Arial" w:eastAsia="Arial" w:hAnsi="Arial"/>
                <w:sz w:val="7"/>
                <w:szCs w:val="7"/>
                <w:color w:val="auto"/>
              </w:rPr>
              <w:t xml:space="preserve">Net interest-earning assets </w:t>
            </w:r>
            <w:r>
              <w:rPr>
                <w:rFonts w:ascii="Arial" w:cs="Arial" w:eastAsia="Arial" w:hAnsi="Arial"/>
                <w:sz w:val="9"/>
                <w:szCs w:val="9"/>
                <w:color w:val="auto"/>
                <w:vertAlign w:val="superscript"/>
              </w:rPr>
              <w:t>(5)</w:t>
            </w: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1,821,109</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1,826,246</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1,421,092</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color w:val="auto"/>
              </w:rPr>
              <w:t>Ratio of interest-earning assets to interest-bearing liabilities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1.40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1.40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1.42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spacing w:after="0"/>
              <w:rPr>
                <w:sz w:val="20"/>
                <w:szCs w:val="20"/>
                <w:color w:val="auto"/>
              </w:rPr>
            </w:pPr>
            <w:r>
              <w:rPr>
                <w:rFonts w:ascii="Arial" w:cs="Arial" w:eastAsia="Arial" w:hAnsi="Arial"/>
                <w:sz w:val="7"/>
                <w:szCs w:val="7"/>
                <w:color w:val="auto"/>
              </w:rPr>
              <w:t>Cost of total deposits</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1.25 %</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1.20 %</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7"/>
                <w:szCs w:val="7"/>
                <w:color w:val="auto"/>
              </w:rPr>
              <w:t>1.19 %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spacing w:after="0"/>
              <w:rPr>
                <w:sz w:val="20"/>
                <w:szCs w:val="20"/>
                <w:color w:val="auto"/>
              </w:rPr>
            </w:pPr>
            <w:r>
              <w:rPr>
                <w:rFonts w:ascii="Arial" w:cs="Arial" w:eastAsia="Arial" w:hAnsi="Arial"/>
                <w:sz w:val="7"/>
                <w:szCs w:val="7"/>
                <w:color w:val="auto"/>
              </w:rPr>
              <w:t>Cost of funds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1.36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1.32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1.29</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 w:lineRule="exact"/>
        <w:rPr>
          <w:sz w:val="20"/>
          <w:szCs w:val="20"/>
          <w:color w:val="auto"/>
        </w:rPr>
      </w:pP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Net interest margin represents net interest income divided by average total interest-earning assets.</w:t>
      </w:r>
    </w:p>
    <w:p>
      <w:pPr>
        <w:spacing w:after="0" w:line="2" w:lineRule="exact"/>
        <w:rPr>
          <w:rFonts w:ascii="Arial" w:cs="Arial" w:eastAsia="Arial" w:hAnsi="Arial"/>
          <w:sz w:val="10"/>
          <w:szCs w:val="10"/>
          <w:color w:val="auto"/>
        </w:rPr>
      </w:pPr>
    </w:p>
    <w:p>
      <w:pPr>
        <w:ind w:left="208" w:hanging="208"/>
        <w:spacing w:after="0" w:line="225" w:lineRule="auto"/>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On a tax-equivalent basis assuming a federal income tax rate of 21% and a state income tax rate of 9.5%.</w:t>
      </w: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See “Reconciliation of Non-GAAP Financial Measures” below for reconciliation of non-GAAP financial measures to their most closely comparable GAAP financial measures.</w:t>
      </w:r>
    </w:p>
    <w:p>
      <w:pPr>
        <w:spacing w:after="0" w:line="1" w:lineRule="exact"/>
        <w:rPr>
          <w:rFonts w:ascii="Arial" w:cs="Arial" w:eastAsia="Arial" w:hAnsi="Arial"/>
          <w:sz w:val="10"/>
          <w:szCs w:val="10"/>
          <w:color w:val="auto"/>
        </w:rPr>
      </w:pP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Net interest rate spread represents the difference between the yield on average interest-earning assets and the cost of average interest-bearing liabilities.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Net interest-earning assets represents total interest-earning assets less total interest-bearing liabilities.</w:t>
      </w:r>
    </w:p>
    <w:p>
      <w:pPr>
        <w:sectPr>
          <w:pgSz w:w="11900" w:h="16838" w:orient="portrait"/>
          <w:cols w:equalWidth="0" w:num="1">
            <w:col w:w="11268"/>
          </w:cols>
          <w:pgMar w:left="292" w:top="135" w:right="339" w:bottom="1440" w:gutter="0" w:footer="0" w:header="0"/>
        </w:sectPr>
      </w:pPr>
    </w:p>
    <w:bookmarkStart w:id="15" w:name="page16"/>
    <w:bookmarkEnd w:id="15"/>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13</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02"/>
        </w:trPr>
        <w:tc>
          <w:tcPr>
            <w:tcW w:w="3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3"/>
          </w:tcPr>
          <w:p>
            <w:pPr>
              <w:ind w:left="1000"/>
              <w:spacing w:after="0"/>
              <w:rPr>
                <w:sz w:val="20"/>
                <w:szCs w:val="20"/>
                <w:color w:val="auto"/>
              </w:rPr>
            </w:pPr>
            <w:r>
              <w:rPr>
                <w:rFonts w:ascii="Arial" w:cs="Arial" w:eastAsia="Arial" w:hAnsi="Arial"/>
                <w:sz w:val="7"/>
                <w:szCs w:val="7"/>
                <w:b w:val="1"/>
                <w:bCs w:val="1"/>
                <w:color w:val="auto"/>
              </w:rPr>
              <w:t>Nine Months Ended</w:t>
            </w: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7"/>
                <w:szCs w:val="7"/>
                <w:b w:val="1"/>
                <w:bCs w:val="1"/>
                <w:color w:val="auto"/>
              </w:rPr>
              <w:t>September 30, 2026</w:t>
            </w:r>
          </w:p>
        </w:tc>
        <w:tc>
          <w:tcPr>
            <w:tcW w:w="1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7"/>
                <w:szCs w:val="7"/>
                <w:b w:val="1"/>
                <w:bCs w:val="1"/>
                <w:color w:val="auto"/>
              </w:rPr>
              <w:t>September 30, 2025</w:t>
            </w:r>
          </w:p>
        </w:tc>
        <w:tc>
          <w:tcPr>
            <w:tcW w:w="1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20"/>
                <w:szCs w:val="20"/>
                <w:color w:val="auto"/>
              </w:rPr>
            </w:pPr>
            <w:r>
              <w:rPr>
                <w:rFonts w:ascii="Arial" w:cs="Arial" w:eastAsia="Arial" w:hAnsi="Arial"/>
                <w:sz w:val="7"/>
                <w:szCs w:val="7"/>
                <w:i w:val="1"/>
                <w:iCs w:val="1"/>
                <w:color w:val="auto"/>
              </w:rPr>
              <w:t>(dollars in thousands)</w:t>
            </w:r>
          </w:p>
        </w:tc>
        <w:tc>
          <w:tcPr>
            <w:tcW w:w="200" w:type="dxa"/>
            <w:vAlign w:val="bottom"/>
          </w:tcPr>
          <w:p>
            <w:pPr>
              <w:spacing w:after="0"/>
              <w:rPr>
                <w:sz w:val="8"/>
                <w:szCs w:val="8"/>
                <w:color w:val="auto"/>
              </w:rPr>
            </w:pPr>
          </w:p>
        </w:tc>
        <w:tc>
          <w:tcPr>
            <w:tcW w:w="1040" w:type="dxa"/>
            <w:vAlign w:val="bottom"/>
          </w:tcPr>
          <w:p>
            <w:pPr>
              <w:jc w:val="right"/>
              <w:ind w:right="28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ind w:left="300"/>
              <w:spacing w:after="0"/>
              <w:rPr>
                <w:sz w:val="20"/>
                <w:szCs w:val="20"/>
                <w:color w:val="auto"/>
              </w:rPr>
            </w:pPr>
            <w:r>
              <w:rPr>
                <w:rFonts w:ascii="Arial" w:cs="Arial" w:eastAsia="Arial" w:hAnsi="Arial"/>
                <w:sz w:val="7"/>
                <w:szCs w:val="7"/>
                <w:b w:val="1"/>
                <w:bCs w:val="1"/>
                <w:color w:val="auto"/>
              </w:rPr>
              <w:t>Interest</w:t>
            </w:r>
          </w:p>
        </w:tc>
        <w:tc>
          <w:tcPr>
            <w:tcW w:w="1380" w:type="dxa"/>
            <w:vAlign w:val="bottom"/>
            <w:gridSpan w:val="2"/>
          </w:tcPr>
          <w:p>
            <w:pPr>
              <w:ind w:left="440"/>
              <w:spacing w:after="0"/>
              <w:rPr>
                <w:sz w:val="20"/>
                <w:szCs w:val="20"/>
                <w:color w:val="auto"/>
              </w:rPr>
            </w:pPr>
            <w:r>
              <w:rPr>
                <w:rFonts w:ascii="Arial" w:cs="Arial" w:eastAsia="Arial" w:hAnsi="Arial"/>
                <w:sz w:val="7"/>
                <w:szCs w:val="7"/>
                <w:b w:val="1"/>
                <w:bCs w:val="1"/>
                <w:color w:val="auto"/>
              </w:rPr>
              <w:t>Yield/Cost *</w:t>
            </w:r>
          </w:p>
        </w:tc>
        <w:tc>
          <w:tcPr>
            <w:tcW w:w="300" w:type="dxa"/>
            <w:vAlign w:val="bottom"/>
          </w:tcPr>
          <w:p>
            <w:pPr>
              <w:spacing w:after="0"/>
              <w:rPr>
                <w:sz w:val="8"/>
                <w:szCs w:val="8"/>
                <w:color w:val="auto"/>
              </w:rPr>
            </w:pPr>
          </w:p>
        </w:tc>
        <w:tc>
          <w:tcPr>
            <w:tcW w:w="920" w:type="dxa"/>
            <w:vAlign w:val="bottom"/>
          </w:tcPr>
          <w:p>
            <w:pPr>
              <w:jc w:val="right"/>
              <w:ind w:right="28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ind w:left="320"/>
              <w:spacing w:after="0"/>
              <w:rPr>
                <w:sz w:val="20"/>
                <w:szCs w:val="20"/>
                <w:color w:val="auto"/>
              </w:rPr>
            </w:pPr>
            <w:r>
              <w:rPr>
                <w:rFonts w:ascii="Arial" w:cs="Arial" w:eastAsia="Arial" w:hAnsi="Arial"/>
                <w:sz w:val="7"/>
                <w:szCs w:val="7"/>
                <w:b w:val="1"/>
                <w:bCs w:val="1"/>
                <w:color w:val="auto"/>
              </w:rPr>
              <w:t>Interest</w:t>
            </w:r>
          </w:p>
        </w:tc>
        <w:tc>
          <w:tcPr>
            <w:tcW w:w="1300" w:type="dxa"/>
            <w:vAlign w:val="bottom"/>
          </w:tcPr>
          <w:p>
            <w:pPr>
              <w:ind w:left="440"/>
              <w:spacing w:after="0"/>
              <w:rPr>
                <w:sz w:val="20"/>
                <w:szCs w:val="20"/>
                <w:color w:val="auto"/>
              </w:rPr>
            </w:pPr>
            <w:r>
              <w:rPr>
                <w:rFonts w:ascii="Arial" w:cs="Arial" w:eastAsia="Arial" w:hAnsi="Arial"/>
                <w:sz w:val="7"/>
                <w:szCs w:val="7"/>
                <w:b w:val="1"/>
                <w:bCs w:val="1"/>
                <w:color w:val="auto"/>
              </w:rPr>
              <w:t>Yield/Cost *</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ASSETS</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60" w:type="dxa"/>
            <w:vAlign w:val="bottom"/>
          </w:tcPr>
          <w:p>
            <w:pPr>
              <w:ind w:left="60"/>
              <w:spacing w:after="0"/>
              <w:rPr>
                <w:sz w:val="20"/>
                <w:szCs w:val="20"/>
                <w:color w:val="auto"/>
              </w:rPr>
            </w:pPr>
            <w:r>
              <w:rPr>
                <w:rFonts w:ascii="Arial" w:cs="Arial" w:eastAsia="Arial" w:hAnsi="Arial"/>
                <w:sz w:val="7"/>
                <w:szCs w:val="7"/>
                <w:color w:val="auto"/>
              </w:rPr>
              <w:t>Loans</w:t>
            </w:r>
          </w:p>
        </w:tc>
        <w:tc>
          <w:tcPr>
            <w:tcW w:w="2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4,467,683</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212,800</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6.37 %</w:t>
            </w:r>
          </w:p>
        </w:tc>
        <w:tc>
          <w:tcPr>
            <w:tcW w:w="80" w:type="dxa"/>
            <w:vAlign w:val="bottom"/>
          </w:tcPr>
          <w:p>
            <w:pPr>
              <w:spacing w:after="0"/>
              <w:rPr>
                <w:sz w:val="8"/>
                <w:szCs w:val="8"/>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3,419,077</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162,971</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6.37 %</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Debt securities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1,472,552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34,774</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3.16</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1,229,388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24,075</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2.62</w:t>
            </w:r>
          </w:p>
        </w:tc>
        <w:tc>
          <w:tcPr>
            <w:tcW w:w="0" w:type="dxa"/>
            <w:vAlign w:val="bottom"/>
          </w:tcPr>
          <w:p>
            <w:pPr>
              <w:spacing w:after="0"/>
              <w:rPr>
                <w:sz w:val="1"/>
                <w:szCs w:val="1"/>
                <w:color w:val="auto"/>
              </w:rPr>
            </w:pPr>
          </w:p>
        </w:tc>
      </w:tr>
      <w:tr>
        <w:trPr>
          <w:trHeight w:val="101"/>
        </w:trPr>
        <w:tc>
          <w:tcPr>
            <w:tcW w:w="3360" w:type="dxa"/>
            <w:vAlign w:val="bottom"/>
          </w:tcPr>
          <w:p>
            <w:pPr>
              <w:ind w:left="60"/>
              <w:spacing w:after="0"/>
              <w:rPr>
                <w:sz w:val="20"/>
                <w:szCs w:val="20"/>
                <w:color w:val="auto"/>
              </w:rPr>
            </w:pPr>
            <w:r>
              <w:rPr>
                <w:rFonts w:ascii="Arial" w:cs="Arial" w:eastAsia="Arial" w:hAnsi="Arial"/>
                <w:sz w:val="7"/>
                <w:szCs w:val="7"/>
                <w:color w:val="auto"/>
              </w:rPr>
              <w:t>Deposits with banks</w:t>
            </w:r>
          </w:p>
        </w:tc>
        <w:tc>
          <w:tcPr>
            <w:tcW w:w="200" w:type="dxa"/>
            <w:vAlign w:val="bottom"/>
          </w:tcPr>
          <w:p>
            <w:pPr>
              <w:spacing w:after="0"/>
              <w:rPr>
                <w:sz w:val="8"/>
                <w:szCs w:val="8"/>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136,230</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3,035</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2.98</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141,216</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3,959</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3.75</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Other</w:t>
            </w: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16,562</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475</w:t>
            </w:r>
          </w:p>
        </w:tc>
        <w:tc>
          <w:tcPr>
            <w:tcW w:w="80" w:type="dxa"/>
            <w:vAlign w:val="bottom"/>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3.84</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12,579</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388</w:t>
            </w:r>
          </w:p>
        </w:tc>
        <w:tc>
          <w:tcPr>
            <w:tcW w:w="80" w:type="dxa"/>
            <w:vAlign w:val="bottom"/>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4.12</w:t>
            </w:r>
          </w:p>
        </w:tc>
        <w:tc>
          <w:tcPr>
            <w:tcW w:w="0" w:type="dxa"/>
            <w:vAlign w:val="bottom"/>
          </w:tcPr>
          <w:p>
            <w:pPr>
              <w:spacing w:after="0"/>
              <w:rPr>
                <w:sz w:val="1"/>
                <w:szCs w:val="1"/>
                <w:color w:val="auto"/>
              </w:rPr>
            </w:pPr>
          </w:p>
        </w:tc>
      </w:tr>
      <w:tr>
        <w:trPr>
          <w:trHeight w:val="90"/>
        </w:trPr>
        <w:tc>
          <w:tcPr>
            <w:tcW w:w="3360" w:type="dxa"/>
            <w:vAlign w:val="bottom"/>
          </w:tcPr>
          <w:p>
            <w:pPr>
              <w:ind w:left="120"/>
              <w:spacing w:after="0"/>
              <w:rPr>
                <w:sz w:val="20"/>
                <w:szCs w:val="20"/>
                <w:color w:val="auto"/>
              </w:rPr>
            </w:pPr>
            <w:r>
              <w:rPr>
                <w:rFonts w:ascii="Arial" w:cs="Arial" w:eastAsia="Arial" w:hAnsi="Arial"/>
                <w:sz w:val="7"/>
                <w:szCs w:val="7"/>
                <w:color w:val="auto"/>
              </w:rPr>
              <w:t>Total interest-earning assets</w:t>
            </w:r>
          </w:p>
        </w:tc>
        <w:tc>
          <w:tcPr>
            <w:tcW w:w="200" w:type="dxa"/>
            <w:vAlign w:val="bottom"/>
          </w:tcPr>
          <w:p>
            <w:pPr>
              <w:spacing w:after="0"/>
              <w:rPr>
                <w:sz w:val="7"/>
                <w:szCs w:val="7"/>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6,093,027</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251,084</w:t>
            </w:r>
          </w:p>
        </w:tc>
        <w:tc>
          <w:tcPr>
            <w:tcW w:w="80" w:type="dxa"/>
            <w:vAlign w:val="bottom"/>
          </w:tcPr>
          <w:p>
            <w:pPr>
              <w:spacing w:after="0"/>
              <w:rPr>
                <w:sz w:val="7"/>
                <w:szCs w:val="7"/>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5.51 %</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4,802,260</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191,393</w:t>
            </w:r>
          </w:p>
        </w:tc>
        <w:tc>
          <w:tcPr>
            <w:tcW w:w="80" w:type="dxa"/>
            <w:vAlign w:val="bottom"/>
          </w:tcPr>
          <w:p>
            <w:pPr>
              <w:spacing w:after="0"/>
              <w:rPr>
                <w:sz w:val="7"/>
                <w:szCs w:val="7"/>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5.33 %</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Allowance for credit losses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7"/>
                <w:szCs w:val="7"/>
                <w:color w:val="auto"/>
              </w:rPr>
              <w:t>(56,651)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7"/>
                <w:szCs w:val="7"/>
                <w:color w:val="auto"/>
              </w:rPr>
              <w:t>(41,962)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36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Noninterest-earning assets</w:t>
            </w: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362,291</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0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3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271,193</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0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3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7"/>
                <w:szCs w:val="7"/>
                <w:b w:val="1"/>
                <w:bCs w:val="1"/>
                <w:color w:val="auto"/>
              </w:rPr>
              <w:t>Total assets</w:t>
            </w:r>
          </w:p>
        </w:tc>
        <w:tc>
          <w:tcPr>
            <w:tcW w:w="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6,398,667</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5,031,491</w:t>
            </w: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LIABILITIES AND STOCKHOLDERS' EQUITY</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360" w:type="dxa"/>
            <w:vAlign w:val="bottom"/>
          </w:tcPr>
          <w:p>
            <w:pPr>
              <w:spacing w:after="0"/>
              <w:rPr>
                <w:sz w:val="20"/>
                <w:szCs w:val="20"/>
                <w:color w:val="auto"/>
              </w:rPr>
            </w:pPr>
            <w:r>
              <w:rPr>
                <w:rFonts w:ascii="Arial" w:cs="Arial" w:eastAsia="Arial" w:hAnsi="Arial"/>
                <w:sz w:val="7"/>
                <w:szCs w:val="7"/>
                <w:b w:val="1"/>
                <w:bCs w:val="1"/>
                <w:color w:val="auto"/>
              </w:rPr>
              <w:t>Liabilities</w:t>
            </w: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Interest-bearing deposits:</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60" w:type="dxa"/>
            <w:vAlign w:val="bottom"/>
          </w:tcPr>
          <w:p>
            <w:pPr>
              <w:ind w:left="120"/>
              <w:spacing w:after="0"/>
              <w:rPr>
                <w:sz w:val="20"/>
                <w:szCs w:val="20"/>
                <w:color w:val="auto"/>
              </w:rPr>
            </w:pPr>
            <w:r>
              <w:rPr>
                <w:rFonts w:ascii="Arial" w:cs="Arial" w:eastAsia="Arial" w:hAnsi="Arial"/>
                <w:sz w:val="7"/>
                <w:szCs w:val="7"/>
                <w:color w:val="auto"/>
              </w:rPr>
              <w:t>Interest-bearing demand</w:t>
            </w:r>
          </w:p>
        </w:tc>
        <w:tc>
          <w:tcPr>
            <w:tcW w:w="2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1,314,320</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6,555</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0.67 %</w:t>
            </w:r>
          </w:p>
        </w:tc>
        <w:tc>
          <w:tcPr>
            <w:tcW w:w="80" w:type="dxa"/>
            <w:vAlign w:val="bottom"/>
          </w:tcPr>
          <w:p>
            <w:pPr>
              <w:spacing w:after="0"/>
              <w:rPr>
                <w:sz w:val="8"/>
                <w:szCs w:val="8"/>
                <w:color w:val="auto"/>
              </w:rPr>
            </w:pPr>
          </w:p>
        </w:tc>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1,119,902</w:t>
            </w: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4,698</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0.56 %</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120"/>
              <w:spacing w:after="0"/>
              <w:rPr>
                <w:sz w:val="20"/>
                <w:szCs w:val="20"/>
                <w:color w:val="auto"/>
              </w:rPr>
            </w:pPr>
            <w:r>
              <w:rPr>
                <w:rFonts w:ascii="Arial" w:cs="Arial" w:eastAsia="Arial" w:hAnsi="Arial"/>
                <w:sz w:val="7"/>
                <w:szCs w:val="7"/>
                <w:color w:val="auto"/>
              </w:rPr>
              <w:t>Money market</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956,682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14,316</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2.00</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818,453</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13,498</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2.20</w:t>
            </w:r>
          </w:p>
        </w:tc>
        <w:tc>
          <w:tcPr>
            <w:tcW w:w="0" w:type="dxa"/>
            <w:vAlign w:val="bottom"/>
          </w:tcPr>
          <w:p>
            <w:pPr>
              <w:spacing w:after="0"/>
              <w:rPr>
                <w:sz w:val="1"/>
                <w:szCs w:val="1"/>
                <w:color w:val="auto"/>
              </w:rPr>
            </w:pPr>
          </w:p>
        </w:tc>
      </w:tr>
      <w:tr>
        <w:trPr>
          <w:trHeight w:val="101"/>
        </w:trPr>
        <w:tc>
          <w:tcPr>
            <w:tcW w:w="3360" w:type="dxa"/>
            <w:vAlign w:val="bottom"/>
          </w:tcPr>
          <w:p>
            <w:pPr>
              <w:ind w:left="120"/>
              <w:spacing w:after="0"/>
              <w:rPr>
                <w:sz w:val="20"/>
                <w:szCs w:val="20"/>
                <w:color w:val="auto"/>
              </w:rPr>
            </w:pPr>
            <w:r>
              <w:rPr>
                <w:rFonts w:ascii="Arial" w:cs="Arial" w:eastAsia="Arial" w:hAnsi="Arial"/>
                <w:sz w:val="7"/>
                <w:szCs w:val="7"/>
                <w:color w:val="auto"/>
              </w:rPr>
              <w:t>Savings</w:t>
            </w:r>
          </w:p>
        </w:tc>
        <w:tc>
          <w:tcPr>
            <w:tcW w:w="200" w:type="dxa"/>
            <w:vAlign w:val="bottom"/>
          </w:tcPr>
          <w:p>
            <w:pPr>
              <w:spacing w:after="0"/>
              <w:rPr>
                <w:sz w:val="8"/>
                <w:szCs w:val="8"/>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793,296</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3,125</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0.53</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568,891</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1,143</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0.27</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120"/>
              <w:spacing w:after="0"/>
              <w:rPr>
                <w:sz w:val="20"/>
                <w:szCs w:val="20"/>
                <w:color w:val="auto"/>
              </w:rPr>
            </w:pPr>
            <w:r>
              <w:rPr>
                <w:rFonts w:ascii="Arial" w:cs="Arial" w:eastAsia="Arial" w:hAnsi="Arial"/>
                <w:sz w:val="7"/>
                <w:szCs w:val="7"/>
                <w:color w:val="auto"/>
              </w:rPr>
              <w:t>Time</w:t>
            </w: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1,137,688</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25,488</w:t>
            </w:r>
          </w:p>
        </w:tc>
        <w:tc>
          <w:tcPr>
            <w:tcW w:w="80" w:type="dxa"/>
            <w:vAlign w:val="bottom"/>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3.00</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778,618</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19,430</w:t>
            </w:r>
          </w:p>
        </w:tc>
        <w:tc>
          <w:tcPr>
            <w:tcW w:w="80" w:type="dxa"/>
            <w:vAlign w:val="bottom"/>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3.34</w:t>
            </w:r>
          </w:p>
        </w:tc>
        <w:tc>
          <w:tcPr>
            <w:tcW w:w="0" w:type="dxa"/>
            <w:vAlign w:val="bottom"/>
          </w:tcPr>
          <w:p>
            <w:pPr>
              <w:spacing w:after="0"/>
              <w:rPr>
                <w:sz w:val="1"/>
                <w:szCs w:val="1"/>
                <w:color w:val="auto"/>
              </w:rPr>
            </w:pPr>
          </w:p>
        </w:tc>
      </w:tr>
      <w:tr>
        <w:trPr>
          <w:trHeight w:val="90"/>
        </w:trPr>
        <w:tc>
          <w:tcPr>
            <w:tcW w:w="3360" w:type="dxa"/>
            <w:vAlign w:val="bottom"/>
          </w:tcPr>
          <w:p>
            <w:pPr>
              <w:ind w:left="160"/>
              <w:spacing w:after="0"/>
              <w:rPr>
                <w:sz w:val="20"/>
                <w:szCs w:val="20"/>
                <w:color w:val="auto"/>
              </w:rPr>
            </w:pPr>
            <w:r>
              <w:rPr>
                <w:rFonts w:ascii="Arial" w:cs="Arial" w:eastAsia="Arial" w:hAnsi="Arial"/>
                <w:sz w:val="7"/>
                <w:szCs w:val="7"/>
                <w:color w:val="auto"/>
              </w:rPr>
              <w:t>Total interest-bearing deposits</w:t>
            </w:r>
          </w:p>
        </w:tc>
        <w:tc>
          <w:tcPr>
            <w:tcW w:w="200" w:type="dxa"/>
            <w:vAlign w:val="bottom"/>
          </w:tcPr>
          <w:p>
            <w:pPr>
              <w:spacing w:after="0"/>
              <w:rPr>
                <w:sz w:val="7"/>
                <w:szCs w:val="7"/>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4,201,986</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49,484</w:t>
            </w:r>
          </w:p>
        </w:tc>
        <w:tc>
          <w:tcPr>
            <w:tcW w:w="80" w:type="dxa"/>
            <w:vAlign w:val="bottom"/>
          </w:tcPr>
          <w:p>
            <w:pPr>
              <w:spacing w:after="0"/>
              <w:rPr>
                <w:sz w:val="7"/>
                <w:szCs w:val="7"/>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1.57</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3,285,864</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38,769</w:t>
            </w:r>
          </w:p>
        </w:tc>
        <w:tc>
          <w:tcPr>
            <w:tcW w:w="80" w:type="dxa"/>
            <w:vAlign w:val="bottom"/>
          </w:tcPr>
          <w:p>
            <w:pPr>
              <w:spacing w:after="0"/>
              <w:rPr>
                <w:sz w:val="7"/>
                <w:szCs w:val="7"/>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1.58</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Securities sold under agreements to repurchase</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1,787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30</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2.27</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3,361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22</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0.89</w:t>
            </w:r>
          </w:p>
        </w:tc>
        <w:tc>
          <w:tcPr>
            <w:tcW w:w="0" w:type="dxa"/>
            <w:vAlign w:val="bottom"/>
          </w:tcPr>
          <w:p>
            <w:pPr>
              <w:spacing w:after="0"/>
              <w:rPr>
                <w:sz w:val="1"/>
                <w:szCs w:val="1"/>
                <w:color w:val="auto"/>
              </w:rPr>
            </w:pPr>
          </w:p>
        </w:tc>
      </w:tr>
      <w:tr>
        <w:trPr>
          <w:trHeight w:val="101"/>
        </w:trPr>
        <w:tc>
          <w:tcPr>
            <w:tcW w:w="3360" w:type="dxa"/>
            <w:vAlign w:val="bottom"/>
          </w:tcPr>
          <w:p>
            <w:pPr>
              <w:ind w:left="60"/>
              <w:spacing w:after="0"/>
              <w:rPr>
                <w:sz w:val="20"/>
                <w:szCs w:val="20"/>
                <w:color w:val="auto"/>
              </w:rPr>
            </w:pPr>
            <w:r>
              <w:rPr>
                <w:rFonts w:ascii="Arial" w:cs="Arial" w:eastAsia="Arial" w:hAnsi="Arial"/>
                <w:sz w:val="7"/>
                <w:szCs w:val="7"/>
                <w:color w:val="auto"/>
              </w:rPr>
              <w:t>Borrowings</w:t>
            </w:r>
          </w:p>
        </w:tc>
        <w:tc>
          <w:tcPr>
            <w:tcW w:w="200" w:type="dxa"/>
            <w:vAlign w:val="bottom"/>
          </w:tcPr>
          <w:p>
            <w:pPr>
              <w:spacing w:after="0"/>
              <w:rPr>
                <w:sz w:val="8"/>
                <w:szCs w:val="8"/>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24,403</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505</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2.77</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9,103</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170</w:t>
            </w: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2.49</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Subordinated notes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62,846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2,756</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5.86</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37,261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1,326</w:t>
            </w: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4.76</w:t>
            </w:r>
          </w:p>
        </w:tc>
        <w:tc>
          <w:tcPr>
            <w:tcW w:w="0" w:type="dxa"/>
            <w:vAlign w:val="bottom"/>
          </w:tcPr>
          <w:p>
            <w:pPr>
              <w:spacing w:after="0"/>
              <w:rPr>
                <w:sz w:val="1"/>
                <w:szCs w:val="1"/>
                <w:color w:val="auto"/>
              </w:rPr>
            </w:pPr>
          </w:p>
        </w:tc>
      </w:tr>
      <w:tr>
        <w:trPr>
          <w:trHeight w:val="101"/>
        </w:trPr>
        <w:tc>
          <w:tcPr>
            <w:tcW w:w="336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Junior subordinated debentures issued to capital trusts</w:t>
            </w: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52,931</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2,545</w:t>
            </w:r>
          </w:p>
        </w:tc>
        <w:tc>
          <w:tcPr>
            <w:tcW w:w="80" w:type="dxa"/>
            <w:vAlign w:val="bottom"/>
            <w:tcBorders>
              <w:bottom w:val="single" w:sz="8" w:color="CCEEFF"/>
            </w:tcBorders>
          </w:tcPr>
          <w:p>
            <w:pPr>
              <w:spacing w:after="0"/>
              <w:rPr>
                <w:sz w:val="8"/>
                <w:szCs w:val="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7"/>
                <w:szCs w:val="7"/>
                <w:color w:val="auto"/>
              </w:rPr>
              <w:t>6.43</w:t>
            </w:r>
          </w:p>
        </w:tc>
        <w:tc>
          <w:tcPr>
            <w:tcW w:w="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52,871</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2,754</w:t>
            </w:r>
          </w:p>
        </w:tc>
        <w:tc>
          <w:tcPr>
            <w:tcW w:w="80" w:type="dxa"/>
            <w:vAlign w:val="bottom"/>
            <w:tcBorders>
              <w:bottom w:val="single" w:sz="8" w:color="CCEEFF"/>
            </w:tcBorders>
          </w:tcPr>
          <w:p>
            <w:pPr>
              <w:spacing w:after="0"/>
              <w:rPr>
                <w:sz w:val="8"/>
                <w:szCs w:val="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7"/>
                <w:szCs w:val="7"/>
                <w:color w:val="auto"/>
              </w:rPr>
              <w:t>6.97</w:t>
            </w:r>
          </w:p>
        </w:tc>
        <w:tc>
          <w:tcPr>
            <w:tcW w:w="0" w:type="dxa"/>
            <w:vAlign w:val="bottom"/>
          </w:tcPr>
          <w:p>
            <w:pPr>
              <w:spacing w:after="0"/>
              <w:rPr>
                <w:sz w:val="1"/>
                <w:szCs w:val="1"/>
                <w:color w:val="auto"/>
              </w:rPr>
            </w:pPr>
          </w:p>
        </w:tc>
      </w:tr>
      <w:tr>
        <w:trPr>
          <w:trHeight w:val="104"/>
        </w:trPr>
        <w:tc>
          <w:tcPr>
            <w:tcW w:w="3360" w:type="dxa"/>
            <w:vAlign w:val="bottom"/>
            <w:shd w:val="clear" w:color="auto" w:fill="CCEEFF"/>
          </w:tcPr>
          <w:p>
            <w:pPr>
              <w:ind w:left="160"/>
              <w:spacing w:after="0"/>
              <w:rPr>
                <w:sz w:val="20"/>
                <w:szCs w:val="20"/>
                <w:color w:val="auto"/>
              </w:rPr>
            </w:pPr>
            <w:r>
              <w:rPr>
                <w:rFonts w:ascii="Arial" w:cs="Arial" w:eastAsia="Arial" w:hAnsi="Arial"/>
                <w:sz w:val="7"/>
                <w:szCs w:val="7"/>
                <w:color w:val="auto"/>
              </w:rPr>
              <w:t>Total interest-bearing liabilities</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4,343,953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55,320</w:t>
            </w: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1.70 %</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3,388,460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43,041</w:t>
            </w: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1.70 %</w:t>
            </w:r>
          </w:p>
        </w:tc>
        <w:tc>
          <w:tcPr>
            <w:tcW w:w="0" w:type="dxa"/>
            <w:vAlign w:val="bottom"/>
          </w:tcPr>
          <w:p>
            <w:pPr>
              <w:spacing w:after="0"/>
              <w:rPr>
                <w:sz w:val="1"/>
                <w:szCs w:val="1"/>
                <w:color w:val="auto"/>
              </w:rPr>
            </w:pPr>
          </w:p>
        </w:tc>
      </w:tr>
      <w:tr>
        <w:trPr>
          <w:trHeight w:val="81"/>
        </w:trPr>
        <w:tc>
          <w:tcPr>
            <w:tcW w:w="3360" w:type="dxa"/>
            <w:vAlign w:val="bottom"/>
          </w:tcPr>
          <w:p>
            <w:pPr>
              <w:ind w:left="60"/>
              <w:spacing w:after="0" w:line="74" w:lineRule="exact"/>
              <w:rPr>
                <w:sz w:val="20"/>
                <w:szCs w:val="20"/>
                <w:color w:val="auto"/>
              </w:rPr>
            </w:pPr>
            <w:r>
              <w:rPr>
                <w:rFonts w:ascii="Arial" w:cs="Arial" w:eastAsia="Arial" w:hAnsi="Arial"/>
                <w:sz w:val="7"/>
                <w:szCs w:val="7"/>
                <w:color w:val="auto"/>
              </w:rPr>
              <w:t>Noninterest-bearing deposits</w:t>
            </w:r>
          </w:p>
        </w:tc>
        <w:tc>
          <w:tcPr>
            <w:tcW w:w="200" w:type="dxa"/>
            <w:vAlign w:val="bottom"/>
          </w:tcPr>
          <w:p>
            <w:pPr>
              <w:spacing w:after="0"/>
              <w:rPr>
                <w:sz w:val="7"/>
                <w:szCs w:val="7"/>
                <w:color w:val="auto"/>
              </w:rPr>
            </w:pPr>
          </w:p>
        </w:tc>
        <w:tc>
          <w:tcPr>
            <w:tcW w:w="1040" w:type="dxa"/>
            <w:vAlign w:val="bottom"/>
          </w:tcPr>
          <w:p>
            <w:pPr>
              <w:jc w:val="right"/>
              <w:ind w:right="4"/>
              <w:spacing w:after="0" w:line="74" w:lineRule="exact"/>
              <w:rPr>
                <w:sz w:val="20"/>
                <w:szCs w:val="20"/>
                <w:color w:val="auto"/>
              </w:rPr>
            </w:pPr>
            <w:r>
              <w:rPr>
                <w:rFonts w:ascii="Arial" w:cs="Arial" w:eastAsia="Arial" w:hAnsi="Arial"/>
                <w:sz w:val="7"/>
                <w:szCs w:val="7"/>
                <w:color w:val="auto"/>
              </w:rPr>
              <w:t>1,267,702</w:t>
            </w: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jc w:val="right"/>
              <w:ind w:right="4"/>
              <w:spacing w:after="0" w:line="74" w:lineRule="exact"/>
              <w:rPr>
                <w:sz w:val="20"/>
                <w:szCs w:val="20"/>
                <w:color w:val="auto"/>
              </w:rPr>
            </w:pPr>
            <w:r>
              <w:rPr>
                <w:rFonts w:ascii="Arial" w:cs="Arial" w:eastAsia="Arial" w:hAnsi="Arial"/>
                <w:sz w:val="7"/>
                <w:szCs w:val="7"/>
                <w:color w:val="auto"/>
              </w:rPr>
              <w:t>1,039,564</w:t>
            </w: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ind w:left="60"/>
              <w:spacing w:after="0"/>
              <w:rPr>
                <w:sz w:val="20"/>
                <w:szCs w:val="20"/>
                <w:color w:val="auto"/>
              </w:rPr>
            </w:pPr>
            <w:r>
              <w:rPr>
                <w:rFonts w:ascii="Arial" w:cs="Arial" w:eastAsia="Arial" w:hAnsi="Arial"/>
                <w:sz w:val="7"/>
                <w:szCs w:val="7"/>
                <w:color w:val="auto"/>
              </w:rPr>
              <w:t>Noninterest-bearing liabilities</w:t>
            </w: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53,632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31,242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360" w:type="dxa"/>
            <w:vAlign w:val="bottom"/>
          </w:tcPr>
          <w:p>
            <w:pPr>
              <w:ind w:left="280"/>
              <w:spacing w:after="0"/>
              <w:rPr>
                <w:sz w:val="20"/>
                <w:szCs w:val="20"/>
                <w:color w:val="auto"/>
              </w:rPr>
            </w:pPr>
            <w:r>
              <w:rPr>
                <w:rFonts w:ascii="Arial" w:cs="Arial" w:eastAsia="Arial" w:hAnsi="Arial"/>
                <w:sz w:val="7"/>
                <w:szCs w:val="7"/>
                <w:b w:val="1"/>
                <w:bCs w:val="1"/>
                <w:color w:val="auto"/>
              </w:rPr>
              <w:t>Total liabilities</w:t>
            </w:r>
          </w:p>
        </w:tc>
        <w:tc>
          <w:tcPr>
            <w:tcW w:w="200" w:type="dxa"/>
            <w:vAlign w:val="bottom"/>
          </w:tcPr>
          <w:p>
            <w:pPr>
              <w:spacing w:after="0"/>
              <w:rPr>
                <w:sz w:val="8"/>
                <w:szCs w:val="8"/>
                <w:color w:val="auto"/>
              </w:rPr>
            </w:pPr>
          </w:p>
        </w:tc>
        <w:tc>
          <w:tcPr>
            <w:tcW w:w="1040" w:type="dxa"/>
            <w:vAlign w:val="bottom"/>
          </w:tcPr>
          <w:p>
            <w:pPr>
              <w:jc w:val="right"/>
              <w:ind w:right="4"/>
              <w:spacing w:after="0"/>
              <w:rPr>
                <w:sz w:val="20"/>
                <w:szCs w:val="20"/>
                <w:color w:val="auto"/>
              </w:rPr>
            </w:pPr>
            <w:r>
              <w:rPr>
                <w:rFonts w:ascii="Arial" w:cs="Arial" w:eastAsia="Arial" w:hAnsi="Arial"/>
                <w:sz w:val="7"/>
                <w:szCs w:val="7"/>
                <w:color w:val="auto"/>
              </w:rPr>
              <w:t>5,665,287</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4,459,266</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Stockholders' Equity</w:t>
            </w:r>
          </w:p>
        </w:tc>
        <w:tc>
          <w:tcPr>
            <w:tcW w:w="20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733,380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572,225</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360" w:type="dxa"/>
            <w:vAlign w:val="bottom"/>
            <w:tcBorders>
              <w:bottom w:val="single" w:sz="8" w:color="CCEEFF"/>
            </w:tcBorders>
          </w:tcPr>
          <w:p>
            <w:pPr>
              <w:ind w:left="280"/>
              <w:spacing w:after="0"/>
              <w:rPr>
                <w:sz w:val="20"/>
                <w:szCs w:val="20"/>
                <w:color w:val="auto"/>
              </w:rPr>
            </w:pPr>
            <w:r>
              <w:rPr>
                <w:rFonts w:ascii="Arial" w:cs="Arial" w:eastAsia="Arial" w:hAnsi="Arial"/>
                <w:sz w:val="7"/>
                <w:szCs w:val="7"/>
                <w:b w:val="1"/>
                <w:bCs w:val="1"/>
                <w:color w:val="auto"/>
              </w:rPr>
              <w:t>Total liabilities and stockholders’ equity</w:t>
            </w:r>
          </w:p>
        </w:tc>
        <w:tc>
          <w:tcPr>
            <w:tcW w:w="20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6,398,667</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5,031,491</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20"/>
                <w:szCs w:val="20"/>
                <w:color w:val="auto"/>
              </w:rPr>
            </w:pPr>
            <w:r>
              <w:rPr>
                <w:rFonts w:ascii="Arial" w:cs="Arial" w:eastAsia="Arial" w:hAnsi="Arial"/>
                <w:sz w:val="7"/>
                <w:szCs w:val="7"/>
                <w:color w:val="auto"/>
              </w:rPr>
              <w:t xml:space="preserve">Net interest income/Net interest margin </w:t>
            </w:r>
            <w:r>
              <w:rPr>
                <w:rFonts w:ascii="Arial" w:cs="Arial" w:eastAsia="Arial" w:hAnsi="Arial"/>
                <w:sz w:val="9"/>
                <w:szCs w:val="9"/>
                <w:color w:val="auto"/>
                <w:vertAlign w:val="superscript"/>
              </w:rPr>
              <w:t>(1)</w:t>
            </w: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195,764</w:t>
            </w:r>
          </w:p>
        </w:tc>
        <w:tc>
          <w:tcPr>
            <w:tcW w:w="80" w:type="dxa"/>
            <w:vAlign w:val="bottom"/>
          </w:tcPr>
          <w:p>
            <w:pPr>
              <w:spacing w:after="0"/>
              <w:rPr>
                <w:sz w:val="9"/>
                <w:szCs w:val="9"/>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4.30 %</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tcPr>
          <w:p>
            <w:pPr>
              <w:jc w:val="right"/>
              <w:ind w:right="4"/>
              <w:spacing w:after="0"/>
              <w:rPr>
                <w:sz w:val="20"/>
                <w:szCs w:val="20"/>
                <w:color w:val="auto"/>
              </w:rPr>
            </w:pPr>
            <w:r>
              <w:rPr>
                <w:rFonts w:ascii="Arial" w:cs="Arial" w:eastAsia="Arial" w:hAnsi="Arial"/>
                <w:sz w:val="7"/>
                <w:szCs w:val="7"/>
                <w:color w:val="auto"/>
              </w:rPr>
              <w:t>148,352</w:t>
            </w:r>
          </w:p>
        </w:tc>
        <w:tc>
          <w:tcPr>
            <w:tcW w:w="80" w:type="dxa"/>
            <w:vAlign w:val="bottom"/>
          </w:tcPr>
          <w:p>
            <w:pPr>
              <w:spacing w:after="0"/>
              <w:rPr>
                <w:sz w:val="9"/>
                <w:szCs w:val="9"/>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4.13 %</w:t>
            </w:r>
          </w:p>
        </w:tc>
        <w:tc>
          <w:tcPr>
            <w:tcW w:w="0" w:type="dxa"/>
            <w:vAlign w:val="bottom"/>
          </w:tcPr>
          <w:p>
            <w:pPr>
              <w:spacing w:after="0"/>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color w:val="auto"/>
              </w:rPr>
              <w:t xml:space="preserve">Tax-equivalent adjustment </w:t>
            </w:r>
            <w:r>
              <w:rPr>
                <w:rFonts w:ascii="Arial" w:cs="Arial" w:eastAsia="Arial" w:hAnsi="Arial"/>
                <w:sz w:val="9"/>
                <w:szCs w:val="9"/>
                <w:color w:val="auto"/>
                <w:vertAlign w:val="superscript"/>
              </w:rPr>
              <w:t>(2)</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2,369</w:t>
            </w:r>
          </w:p>
        </w:tc>
        <w:tc>
          <w:tcPr>
            <w:tcW w:w="80" w:type="dxa"/>
            <w:vAlign w:val="bottom"/>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0.05</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1,645</w:t>
            </w:r>
          </w:p>
        </w:tc>
        <w:tc>
          <w:tcPr>
            <w:tcW w:w="80" w:type="dxa"/>
            <w:vAlign w:val="bottom"/>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0.05</w:t>
            </w:r>
          </w:p>
        </w:tc>
        <w:tc>
          <w:tcPr>
            <w:tcW w:w="0" w:type="dxa"/>
            <w:vAlign w:val="bottom"/>
          </w:tcPr>
          <w:p>
            <w:pPr>
              <w:spacing w:after="0"/>
              <w:rPr>
                <w:sz w:val="1"/>
                <w:szCs w:val="1"/>
                <w:color w:val="auto"/>
              </w:rPr>
            </w:pPr>
          </w:p>
        </w:tc>
      </w:tr>
      <w:tr>
        <w:trPr>
          <w:trHeight w:val="52"/>
        </w:trPr>
        <w:tc>
          <w:tcPr>
            <w:tcW w:w="3360" w:type="dxa"/>
            <w:vAlign w:val="bottom"/>
          </w:tcPr>
          <w:p>
            <w:pPr>
              <w:spacing w:after="0" w:line="52" w:lineRule="exact"/>
              <w:rPr>
                <w:sz w:val="20"/>
                <w:szCs w:val="20"/>
                <w:color w:val="auto"/>
              </w:rPr>
            </w:pPr>
            <w:r>
              <w:rPr>
                <w:rFonts w:ascii="Arial" w:cs="Arial" w:eastAsia="Arial" w:hAnsi="Arial"/>
                <w:sz w:val="6"/>
                <w:szCs w:val="6"/>
                <w:color w:val="auto"/>
              </w:rPr>
              <w:t>Net interest income (tax-equivalent basis)/</w:t>
            </w: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vMerge w:val="restart"/>
          </w:tcPr>
          <w:p>
            <w:pPr>
              <w:jc w:val="right"/>
              <w:ind w:right="4"/>
              <w:spacing w:after="0"/>
              <w:rPr>
                <w:sz w:val="20"/>
                <w:szCs w:val="20"/>
                <w:color w:val="auto"/>
              </w:rPr>
            </w:pPr>
            <w:r>
              <w:rPr>
                <w:rFonts w:ascii="Arial" w:cs="Arial" w:eastAsia="Arial" w:hAnsi="Arial"/>
                <w:sz w:val="7"/>
                <w:szCs w:val="7"/>
                <w:color w:val="auto"/>
              </w:rPr>
              <w:t>198,133</w:t>
            </w:r>
          </w:p>
        </w:tc>
        <w:tc>
          <w:tcPr>
            <w:tcW w:w="80" w:type="dxa"/>
            <w:vAlign w:val="bottom"/>
          </w:tcPr>
          <w:p>
            <w:pPr>
              <w:spacing w:after="0"/>
              <w:rPr>
                <w:sz w:val="4"/>
                <w:szCs w:val="4"/>
                <w:color w:val="auto"/>
              </w:rPr>
            </w:pPr>
          </w:p>
        </w:tc>
        <w:tc>
          <w:tcPr>
            <w:tcW w:w="1300" w:type="dxa"/>
            <w:vAlign w:val="bottom"/>
            <w:vMerge w:val="restart"/>
          </w:tcPr>
          <w:p>
            <w:pPr>
              <w:ind w:left="1060"/>
              <w:spacing w:after="0"/>
              <w:rPr>
                <w:sz w:val="20"/>
                <w:szCs w:val="20"/>
                <w:color w:val="auto"/>
              </w:rPr>
            </w:pPr>
            <w:r>
              <w:rPr>
                <w:rFonts w:ascii="Arial" w:cs="Arial" w:eastAsia="Arial" w:hAnsi="Arial"/>
                <w:sz w:val="7"/>
                <w:szCs w:val="7"/>
                <w:color w:val="auto"/>
              </w:rPr>
              <w:t>4.35 %</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vMerge w:val="restart"/>
          </w:tcPr>
          <w:p>
            <w:pPr>
              <w:jc w:val="right"/>
              <w:ind w:right="4"/>
              <w:spacing w:after="0"/>
              <w:rPr>
                <w:sz w:val="20"/>
                <w:szCs w:val="20"/>
                <w:color w:val="auto"/>
              </w:rPr>
            </w:pPr>
            <w:r>
              <w:rPr>
                <w:rFonts w:ascii="Arial" w:cs="Arial" w:eastAsia="Arial" w:hAnsi="Arial"/>
                <w:sz w:val="7"/>
                <w:szCs w:val="7"/>
                <w:color w:val="auto"/>
              </w:rPr>
              <w:t>149,997</w:t>
            </w:r>
          </w:p>
        </w:tc>
        <w:tc>
          <w:tcPr>
            <w:tcW w:w="80" w:type="dxa"/>
            <w:vAlign w:val="bottom"/>
          </w:tcPr>
          <w:p>
            <w:pPr>
              <w:spacing w:after="0"/>
              <w:rPr>
                <w:sz w:val="4"/>
                <w:szCs w:val="4"/>
                <w:color w:val="auto"/>
              </w:rPr>
            </w:pPr>
          </w:p>
        </w:tc>
        <w:tc>
          <w:tcPr>
            <w:tcW w:w="1300" w:type="dxa"/>
            <w:vAlign w:val="bottom"/>
            <w:vMerge w:val="restart"/>
          </w:tcPr>
          <w:p>
            <w:pPr>
              <w:ind w:left="1060"/>
              <w:spacing w:after="0"/>
              <w:rPr>
                <w:sz w:val="20"/>
                <w:szCs w:val="20"/>
                <w:color w:val="auto"/>
              </w:rPr>
            </w:pPr>
            <w:r>
              <w:rPr>
                <w:rFonts w:ascii="Arial" w:cs="Arial" w:eastAsia="Arial" w:hAnsi="Arial"/>
                <w:sz w:val="7"/>
                <w:szCs w:val="7"/>
                <w:color w:val="auto"/>
              </w:rPr>
              <w:t>4.18 %</w:t>
            </w:r>
          </w:p>
        </w:tc>
        <w:tc>
          <w:tcPr>
            <w:tcW w:w="0" w:type="dxa"/>
            <w:vAlign w:val="bottom"/>
          </w:tcPr>
          <w:p>
            <w:pPr>
              <w:spacing w:after="0"/>
              <w:rPr>
                <w:sz w:val="1"/>
                <w:szCs w:val="1"/>
                <w:color w:val="auto"/>
              </w:rPr>
            </w:pPr>
          </w:p>
        </w:tc>
      </w:tr>
      <w:tr>
        <w:trPr>
          <w:trHeight w:val="106"/>
        </w:trPr>
        <w:tc>
          <w:tcPr>
            <w:tcW w:w="3360" w:type="dxa"/>
            <w:vAlign w:val="bottom"/>
          </w:tcPr>
          <w:p>
            <w:pPr>
              <w:spacing w:after="0" w:line="90" w:lineRule="exact"/>
              <w:rPr>
                <w:sz w:val="20"/>
                <w:szCs w:val="20"/>
                <w:color w:val="auto"/>
              </w:rPr>
            </w:pPr>
            <w:r>
              <w:rPr>
                <w:rFonts w:ascii="Arial" w:cs="Arial" w:eastAsia="Arial" w:hAnsi="Arial"/>
                <w:sz w:val="7"/>
                <w:szCs w:val="7"/>
                <w:color w:val="auto"/>
              </w:rPr>
              <w:t xml:space="preserve">Net interest margin (tax-equivalent basis) </w:t>
            </w:r>
            <w:r>
              <w:rPr>
                <w:rFonts w:ascii="Arial" w:cs="Arial" w:eastAsia="Arial" w:hAnsi="Arial"/>
                <w:sz w:val="9"/>
                <w:szCs w:val="9"/>
                <w:color w:val="auto"/>
                <w:vertAlign w:val="superscript"/>
              </w:rPr>
              <w:t>(2) (3)</w:t>
            </w: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7"/>
                <w:szCs w:val="7"/>
                <w:color w:val="auto"/>
              </w:rPr>
              <w:t xml:space="preserve">Net interest rate spread </w:t>
            </w:r>
            <w:r>
              <w:rPr>
                <w:rFonts w:ascii="Arial" w:cs="Arial" w:eastAsia="Arial" w:hAnsi="Arial"/>
                <w:sz w:val="9"/>
                <w:szCs w:val="9"/>
                <w:color w:val="auto"/>
                <w:vertAlign w:val="superscript"/>
              </w:rPr>
              <w:t>(4)</w:t>
            </w:r>
          </w:p>
        </w:tc>
        <w:tc>
          <w:tcPr>
            <w:tcW w:w="200" w:type="dxa"/>
            <w:vAlign w:val="bottom"/>
            <w:tcBorders>
              <w:top w:val="single" w:sz="8" w:color="CCEEFF"/>
              <w:bottom w:val="single" w:sz="8" w:color="auto"/>
            </w:tcBorders>
            <w:shd w:val="clear" w:color="auto" w:fill="CCEEFF"/>
          </w:tcPr>
          <w:p>
            <w:pPr>
              <w:spacing w:after="0"/>
              <w:rPr>
                <w:sz w:val="9"/>
                <w:szCs w:val="9"/>
                <w:color w:val="auto"/>
              </w:rPr>
            </w:pPr>
          </w:p>
        </w:tc>
        <w:tc>
          <w:tcPr>
            <w:tcW w:w="104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3.81 %</w:t>
            </w: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auto"/>
            </w:tcBorders>
            <w:shd w:val="clear" w:color="auto" w:fill="CCEEFF"/>
          </w:tcPr>
          <w:p>
            <w:pPr>
              <w:spacing w:after="0"/>
              <w:rPr>
                <w:sz w:val="9"/>
                <w:szCs w:val="9"/>
                <w:color w:val="auto"/>
              </w:rPr>
            </w:pPr>
          </w:p>
        </w:tc>
        <w:tc>
          <w:tcPr>
            <w:tcW w:w="92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7"/>
                <w:szCs w:val="7"/>
                <w:color w:val="auto"/>
              </w:rPr>
              <w:t>3.63 %</w:t>
            </w:r>
          </w:p>
        </w:tc>
        <w:tc>
          <w:tcPr>
            <w:tcW w:w="0" w:type="dxa"/>
            <w:vAlign w:val="bottom"/>
          </w:tcPr>
          <w:p>
            <w:pPr>
              <w:spacing w:after="0"/>
              <w:rPr>
                <w:sz w:val="1"/>
                <w:szCs w:val="1"/>
                <w:color w:val="auto"/>
              </w:rPr>
            </w:pPr>
          </w:p>
        </w:tc>
      </w:tr>
      <w:tr>
        <w:trPr>
          <w:trHeight w:val="113"/>
        </w:trPr>
        <w:tc>
          <w:tcPr>
            <w:tcW w:w="3360" w:type="dxa"/>
            <w:vAlign w:val="bottom"/>
            <w:tcBorders>
              <w:bottom w:val="single" w:sz="8" w:color="CCEEFF"/>
            </w:tcBorders>
          </w:tcPr>
          <w:p>
            <w:pPr>
              <w:spacing w:after="0" w:line="97" w:lineRule="exact"/>
              <w:rPr>
                <w:sz w:val="20"/>
                <w:szCs w:val="20"/>
                <w:color w:val="auto"/>
              </w:rPr>
            </w:pPr>
            <w:r>
              <w:rPr>
                <w:rFonts w:ascii="Arial" w:cs="Arial" w:eastAsia="Arial" w:hAnsi="Arial"/>
                <w:sz w:val="7"/>
                <w:szCs w:val="7"/>
                <w:color w:val="auto"/>
              </w:rPr>
              <w:t xml:space="preserve">Net interest-earning assets </w:t>
            </w:r>
            <w:r>
              <w:rPr>
                <w:rFonts w:ascii="Arial" w:cs="Arial" w:eastAsia="Arial" w:hAnsi="Arial"/>
                <w:sz w:val="9"/>
                <w:szCs w:val="9"/>
                <w:color w:val="auto"/>
                <w:vertAlign w:val="superscript"/>
              </w:rPr>
              <w:t>(5)</w:t>
            </w:r>
          </w:p>
        </w:tc>
        <w:tc>
          <w:tcPr>
            <w:tcW w:w="20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color w:val="auto"/>
              </w:rPr>
              <w:t>$</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1,749,074</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3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1,413,800</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3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EFF"/>
          </w:tcPr>
          <w:p>
            <w:pPr>
              <w:spacing w:after="0"/>
              <w:rPr>
                <w:sz w:val="20"/>
                <w:szCs w:val="20"/>
                <w:color w:val="auto"/>
              </w:rPr>
            </w:pPr>
            <w:r>
              <w:rPr>
                <w:rFonts w:ascii="Arial" w:cs="Arial" w:eastAsia="Arial" w:hAnsi="Arial"/>
                <w:sz w:val="7"/>
                <w:szCs w:val="7"/>
                <w:color w:val="auto"/>
              </w:rPr>
              <w:t>Ratio of interest-earning assets to interest-bearing liabilities</w:t>
            </w: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7"/>
                <w:szCs w:val="7"/>
                <w:color w:val="auto"/>
              </w:rPr>
              <w:t>1.40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7"/>
                <w:szCs w:val="7"/>
                <w:color w:val="auto"/>
              </w:rPr>
              <w:t>1.42</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60" w:type="dxa"/>
            <w:vAlign w:val="bottom"/>
          </w:tcPr>
          <w:p>
            <w:pPr>
              <w:spacing w:after="0"/>
              <w:rPr>
                <w:sz w:val="20"/>
                <w:szCs w:val="20"/>
                <w:color w:val="auto"/>
              </w:rPr>
            </w:pPr>
            <w:r>
              <w:rPr>
                <w:rFonts w:ascii="Arial" w:cs="Arial" w:eastAsia="Arial" w:hAnsi="Arial"/>
                <w:sz w:val="7"/>
                <w:szCs w:val="7"/>
                <w:color w:val="auto"/>
              </w:rPr>
              <w:t>Cost of total deposits</w:t>
            </w: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1.21 %</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ind w:left="1060"/>
              <w:spacing w:after="0"/>
              <w:rPr>
                <w:sz w:val="20"/>
                <w:szCs w:val="20"/>
                <w:color w:val="auto"/>
              </w:rPr>
            </w:pPr>
            <w:r>
              <w:rPr>
                <w:rFonts w:ascii="Arial" w:cs="Arial" w:eastAsia="Arial" w:hAnsi="Arial"/>
                <w:sz w:val="7"/>
                <w:szCs w:val="7"/>
                <w:color w:val="auto"/>
              </w:rPr>
              <w:t>1.20 %</w:t>
            </w:r>
          </w:p>
        </w:tc>
        <w:tc>
          <w:tcPr>
            <w:tcW w:w="0" w:type="dxa"/>
            <w:vAlign w:val="bottom"/>
          </w:tcPr>
          <w:p>
            <w:pPr>
              <w:spacing w:after="0"/>
              <w:rPr>
                <w:sz w:val="1"/>
                <w:szCs w:val="1"/>
                <w:color w:val="auto"/>
              </w:rPr>
            </w:pPr>
          </w:p>
        </w:tc>
      </w:tr>
      <w:tr>
        <w:trPr>
          <w:trHeight w:val="115"/>
        </w:trPr>
        <w:tc>
          <w:tcPr>
            <w:tcW w:w="3360" w:type="dxa"/>
            <w:vAlign w:val="bottom"/>
            <w:shd w:val="clear" w:color="auto" w:fill="CCEEFF"/>
          </w:tcPr>
          <w:p>
            <w:pPr>
              <w:spacing w:after="0"/>
              <w:rPr>
                <w:sz w:val="20"/>
                <w:szCs w:val="20"/>
                <w:color w:val="auto"/>
              </w:rPr>
            </w:pPr>
            <w:r>
              <w:rPr>
                <w:rFonts w:ascii="Arial" w:cs="Arial" w:eastAsia="Arial" w:hAnsi="Arial"/>
                <w:sz w:val="7"/>
                <w:szCs w:val="7"/>
                <w:color w:val="auto"/>
              </w:rPr>
              <w:t>Cost of funds</w:t>
            </w: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1.32</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7"/>
                <w:szCs w:val="7"/>
                <w:color w:val="auto"/>
              </w:rPr>
              <w:t>1.30</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interest margin represents net interest income divided by average total interest-earning assets.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On a tax-equivalent basis assuming a federal income tax rate of 21% and a state income tax rate of 9.5%.</w:t>
      </w:r>
    </w:p>
    <w:p>
      <w:pPr>
        <w:spacing w:after="0" w:line="2" w:lineRule="exact"/>
        <w:rPr>
          <w:rFonts w:ascii="Arial" w:cs="Arial" w:eastAsia="Arial" w:hAnsi="Arial"/>
          <w:sz w:val="10"/>
          <w:szCs w:val="10"/>
          <w:color w:val="auto"/>
        </w:rPr>
      </w:pPr>
    </w:p>
    <w:p>
      <w:pPr>
        <w:ind w:left="208" w:hanging="208"/>
        <w:spacing w:after="0" w:line="225" w:lineRule="auto"/>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See "Reconciliation of Non-GAAP Financial Measures" below for reconciliation of non-GAAP financial measures to their most closely comparable GAAP financial measures.</w:t>
      </w:r>
    </w:p>
    <w:p>
      <w:pPr>
        <w:ind w:left="208" w:hanging="208"/>
        <w:spacing w:after="0"/>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interest rate spread represents the difference between the yield on average interest-earning assets and the cost of average interest-bearing liabilities.</w:t>
      </w:r>
    </w:p>
    <w:p>
      <w:pPr>
        <w:spacing w:after="0" w:line="1" w:lineRule="exact"/>
        <w:rPr>
          <w:rFonts w:ascii="Arial" w:cs="Arial" w:eastAsia="Arial" w:hAnsi="Arial"/>
          <w:sz w:val="10"/>
          <w:szCs w:val="10"/>
          <w:color w:val="auto"/>
        </w:rPr>
      </w:pPr>
    </w:p>
    <w:p>
      <w:pPr>
        <w:ind w:left="208" w:hanging="208"/>
        <w:spacing w:after="0"/>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interest-earning assets represents total interest-earning assets less total interest-bearing liabilities.</w:t>
      </w:r>
    </w:p>
    <w:p>
      <w:pPr>
        <w:sectPr>
          <w:pgSz w:w="11900" w:h="16838" w:orient="portrait"/>
          <w:cols w:equalWidth="0" w:num="1">
            <w:col w:w="11308"/>
          </w:cols>
          <w:pgMar w:left="292" w:top="135" w:right="299" w:bottom="1440" w:gutter="0" w:footer="0" w:header="0"/>
        </w:sectPr>
      </w:pPr>
    </w:p>
    <w:bookmarkStart w:id="16" w:name="page17"/>
    <w:bookmarkEnd w:id="16"/>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14</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60" w:type="dxa"/>
            <w:vAlign w:val="bottom"/>
          </w:tcPr>
          <w:p>
            <w:pPr>
              <w:spacing w:after="0"/>
              <w:rPr>
                <w:sz w:val="10"/>
                <w:szCs w:val="10"/>
                <w:color w:val="auto"/>
              </w:rPr>
            </w:pPr>
          </w:p>
        </w:tc>
        <w:tc>
          <w:tcPr>
            <w:tcW w:w="136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10"/>
                <w:szCs w:val="10"/>
                <w:color w:val="auto"/>
              </w:rPr>
            </w:pPr>
          </w:p>
        </w:tc>
        <w:tc>
          <w:tcPr>
            <w:tcW w:w="1300" w:type="dxa"/>
            <w:vAlign w:val="bottom"/>
            <w:gridSpan w:val="2"/>
          </w:tcPr>
          <w:p>
            <w:pPr>
              <w:ind w:left="260"/>
              <w:spacing w:after="0"/>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10"/>
                <w:szCs w:val="10"/>
                <w:color w:val="auto"/>
              </w:rPr>
            </w:pPr>
          </w:p>
        </w:tc>
        <w:tc>
          <w:tcPr>
            <w:tcW w:w="1300" w:type="dxa"/>
            <w:vAlign w:val="bottom"/>
          </w:tcPr>
          <w:p>
            <w:pPr>
              <w:jc w:val="right"/>
              <w:ind w:right="41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4"/>
        </w:trPr>
        <w:tc>
          <w:tcPr>
            <w:tcW w:w="650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NONPERFORMING ASSETS</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Nonaccrual</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10,098</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9,083</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7,637</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Past due 90 days or more, still accruing</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23"/>
        </w:trPr>
        <w:tc>
          <w:tcPr>
            <w:tcW w:w="6500" w:type="dxa"/>
            <w:vAlign w:val="bottom"/>
          </w:tcPr>
          <w:p>
            <w:pPr>
              <w:spacing w:after="0"/>
              <w:rPr>
                <w:sz w:val="20"/>
                <w:szCs w:val="20"/>
                <w:color w:val="auto"/>
              </w:rPr>
            </w:pPr>
            <w:r>
              <w:rPr>
                <w:rFonts w:ascii="Arial" w:cs="Arial" w:eastAsia="Arial" w:hAnsi="Arial"/>
                <w:sz w:val="10"/>
                <w:szCs w:val="10"/>
                <w:b w:val="1"/>
                <w:bCs w:val="1"/>
                <w:color w:val="auto"/>
              </w:rPr>
              <w:t>Total nonperforming loans</w:t>
            </w:r>
          </w:p>
        </w:tc>
        <w:tc>
          <w:tcPr>
            <w:tcW w:w="2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10,098</w:t>
            </w: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9,089</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7,642</w:t>
            </w:r>
          </w:p>
        </w:tc>
        <w:tc>
          <w:tcPr>
            <w:tcW w:w="0" w:type="dxa"/>
            <w:vAlign w:val="bottom"/>
          </w:tcPr>
          <w:p>
            <w:pPr>
              <w:spacing w:after="0"/>
              <w:rPr>
                <w:sz w:val="1"/>
                <w:szCs w:val="1"/>
                <w:color w:val="auto"/>
              </w:rPr>
            </w:pPr>
          </w:p>
        </w:tc>
      </w:tr>
      <w:tr>
        <w:trPr>
          <w:trHeight w:val="133"/>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Foreclosed assets</w:t>
            </w:r>
          </w:p>
        </w:tc>
        <w:tc>
          <w:tcPr>
            <w:tcW w:w="26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656</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766</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1,007</w:t>
            </w:r>
          </w:p>
        </w:tc>
        <w:tc>
          <w:tcPr>
            <w:tcW w:w="0" w:type="dxa"/>
            <w:vAlign w:val="bottom"/>
          </w:tcPr>
          <w:p>
            <w:pPr>
              <w:spacing w:after="0"/>
              <w:rPr>
                <w:sz w:val="1"/>
                <w:szCs w:val="1"/>
                <w:color w:val="auto"/>
              </w:rPr>
            </w:pPr>
          </w:p>
        </w:tc>
      </w:tr>
      <w:tr>
        <w:trPr>
          <w:trHeight w:val="143"/>
        </w:trPr>
        <w:tc>
          <w:tcPr>
            <w:tcW w:w="65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Total nonperforming assets</w:t>
            </w: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10,754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9,855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8,649</w:t>
            </w:r>
          </w:p>
        </w:tc>
        <w:tc>
          <w:tcPr>
            <w:tcW w:w="0" w:type="dxa"/>
            <w:vAlign w:val="bottom"/>
          </w:tcPr>
          <w:p>
            <w:pPr>
              <w:spacing w:after="0"/>
              <w:rPr>
                <w:sz w:val="1"/>
                <w:szCs w:val="1"/>
                <w:color w:val="auto"/>
              </w:rPr>
            </w:pPr>
          </w:p>
        </w:tc>
      </w:tr>
      <w:tr>
        <w:trPr>
          <w:trHeight w:val="126"/>
        </w:trPr>
        <w:tc>
          <w:tcPr>
            <w:tcW w:w="6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Nonperforming loans that are wholly or partially guaranteed by the U.S. Government</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2,350</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2,405</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1,760</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Allowance for credit losses</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60,475</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60,564</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41,900</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Loans, before allowance for credit losses</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4,782,743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4,752,418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3,400,029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178040"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CREDIT QUALITY RATIOS</w:t>
      </w:r>
    </w:p>
    <w:p>
      <w:pPr>
        <w:sectPr>
          <w:pgSz w:w="11900" w:h="16838" w:orient="portrait"/>
          <w:cols w:equalWidth="0" w:num="1">
            <w:col w:w="11300"/>
          </w:cols>
          <w:pgMar w:left="300" w:top="135" w:right="29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Allowance for credit losses to loans, before allowance for credit losses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Allowance for credit losses to nonaccrual loans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Allowance for credit losses to nonperforming loans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Nonaccrual loans to loans, before allowance for credit losses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Nonperforming loans to loans, before allowance for credit losses</w:t>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Nonperforming assets to total assets</w:t>
      </w:r>
    </w:p>
    <w:p>
      <w:pPr>
        <w:spacing w:after="0" w:line="20" w:lineRule="exact"/>
        <w:rPr>
          <w:sz w:val="20"/>
          <w:szCs w:val="20"/>
          <w:color w:val="auto"/>
        </w:rPr>
      </w:pPr>
    </w:p>
    <w:p>
      <w:pPr>
        <w:spacing w:after="0"/>
        <w:rPr>
          <w:sz w:val="20"/>
          <w:szCs w:val="20"/>
          <w:color w:val="auto"/>
        </w:rPr>
      </w:pPr>
      <w:r>
        <w:rPr>
          <w:rFonts w:ascii="Arial" w:cs="Arial" w:eastAsia="Arial" w:hAnsi="Arial"/>
          <w:sz w:val="8"/>
          <w:szCs w:val="8"/>
          <w:color w:val="auto"/>
        </w:rPr>
        <w:t>Nonperforming assets to loans, before allowance for credit losses, and foreclosed assets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(dollars in thousands)</w:t>
      </w:r>
    </w:p>
    <w:p>
      <w:pPr>
        <w:spacing w:after="0" w:line="5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ALLOWANCE FOR CREDIT LOSSES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3660" w:type="dxa"/>
        <w:tblCellMar>
          <w:top w:w="0" w:type="dxa"/>
          <w:left w:w="0" w:type="dxa"/>
          <w:bottom w:w="0" w:type="dxa"/>
          <w:right w:w="0" w:type="dxa"/>
        </w:tblCellMar>
      </w:tblPr>
      <w:tr>
        <w:trPr>
          <w:trHeight w:val="125"/>
        </w:trPr>
        <w:tc>
          <w:tcPr>
            <w:tcW w:w="1020" w:type="dxa"/>
            <w:vAlign w:val="bottom"/>
          </w:tcPr>
          <w:p>
            <w:pPr>
              <w:jc w:val="right"/>
              <w:ind w:right="552"/>
              <w:spacing w:after="0"/>
              <w:rPr>
                <w:sz w:val="20"/>
                <w:szCs w:val="20"/>
                <w:color w:val="auto"/>
              </w:rPr>
            </w:pPr>
            <w:r>
              <w:rPr>
                <w:rFonts w:ascii="Arial" w:cs="Arial" w:eastAsia="Arial" w:hAnsi="Arial"/>
                <w:sz w:val="10"/>
                <w:szCs w:val="10"/>
                <w:color w:val="auto"/>
              </w:rPr>
              <w:t>1.26 %</w:t>
            </w:r>
          </w:p>
        </w:tc>
        <w:tc>
          <w:tcPr>
            <w:tcW w:w="1620" w:type="dxa"/>
            <w:vAlign w:val="bottom"/>
          </w:tcPr>
          <w:p>
            <w:pPr>
              <w:jc w:val="right"/>
              <w:ind w:right="552"/>
              <w:spacing w:after="0"/>
              <w:rPr>
                <w:sz w:val="20"/>
                <w:szCs w:val="20"/>
                <w:color w:val="auto"/>
              </w:rPr>
            </w:pPr>
            <w:r>
              <w:rPr>
                <w:rFonts w:ascii="Arial" w:cs="Arial" w:eastAsia="Arial" w:hAnsi="Arial"/>
                <w:sz w:val="10"/>
                <w:szCs w:val="10"/>
                <w:color w:val="auto"/>
              </w:rPr>
              <w:t>1.27 %</w:t>
            </w:r>
          </w:p>
        </w:tc>
        <w:tc>
          <w:tcPr>
            <w:tcW w:w="1020" w:type="dxa"/>
            <w:vAlign w:val="bottom"/>
          </w:tcPr>
          <w:p>
            <w:pPr>
              <w:jc w:val="right"/>
              <w:spacing w:after="0"/>
              <w:rPr>
                <w:sz w:val="20"/>
                <w:szCs w:val="20"/>
                <w:color w:val="auto"/>
              </w:rPr>
            </w:pPr>
            <w:r>
              <w:rPr>
                <w:rFonts w:ascii="Arial" w:cs="Arial" w:eastAsia="Arial" w:hAnsi="Arial"/>
                <w:sz w:val="10"/>
                <w:szCs w:val="10"/>
                <w:color w:val="auto"/>
              </w:rPr>
              <w:t>1.23 %</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w w:val="91"/>
              </w:rPr>
              <w:t>598.88</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666.78</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548.64</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w w:val="91"/>
              </w:rPr>
              <w:t>598.88</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666.34</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548.29</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rPr>
              <w:t>0.21</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0.19</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0.22</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rPr>
              <w:t>0.21</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0.19</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0.22</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rPr>
              <w:t>0.16</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0.15</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0.17</w:t>
            </w:r>
          </w:p>
        </w:tc>
      </w:tr>
      <w:tr>
        <w:trPr>
          <w:trHeight w:val="135"/>
        </w:trPr>
        <w:tc>
          <w:tcPr>
            <w:tcW w:w="1020" w:type="dxa"/>
            <w:vAlign w:val="bottom"/>
          </w:tcPr>
          <w:p>
            <w:pPr>
              <w:jc w:val="right"/>
              <w:ind w:right="672"/>
              <w:spacing w:after="0"/>
              <w:rPr>
                <w:sz w:val="20"/>
                <w:szCs w:val="20"/>
                <w:color w:val="auto"/>
              </w:rPr>
            </w:pPr>
            <w:r>
              <w:rPr>
                <w:rFonts w:ascii="Arial" w:cs="Arial" w:eastAsia="Arial" w:hAnsi="Arial"/>
                <w:sz w:val="10"/>
                <w:szCs w:val="10"/>
                <w:color w:val="auto"/>
              </w:rPr>
              <w:t>0.22</w:t>
            </w:r>
          </w:p>
        </w:tc>
        <w:tc>
          <w:tcPr>
            <w:tcW w:w="1620" w:type="dxa"/>
            <w:vAlign w:val="bottom"/>
          </w:tcPr>
          <w:p>
            <w:pPr>
              <w:jc w:val="right"/>
              <w:ind w:right="672"/>
              <w:spacing w:after="0"/>
              <w:rPr>
                <w:sz w:val="20"/>
                <w:szCs w:val="20"/>
                <w:color w:val="auto"/>
              </w:rPr>
            </w:pPr>
            <w:r>
              <w:rPr>
                <w:rFonts w:ascii="Arial" w:cs="Arial" w:eastAsia="Arial" w:hAnsi="Arial"/>
                <w:sz w:val="10"/>
                <w:szCs w:val="10"/>
                <w:color w:val="auto"/>
              </w:rPr>
              <w:t>0.21</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-509905</wp:posOffset>
            </wp:positionV>
            <wp:extent cx="717804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-338455</wp:posOffset>
            </wp:positionV>
            <wp:extent cx="7178040"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-167005</wp:posOffset>
            </wp:positionV>
            <wp:extent cx="7178040"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97"/>
              </w:rPr>
              <w:t>Three Months Ended</w:t>
            </w:r>
          </w:p>
        </w:tc>
        <w:tc>
          <w:tcPr>
            <w:tcW w:w="1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1"/>
        </w:trPr>
        <w:tc>
          <w:tcPr>
            <w:tcW w:w="1480" w:type="dxa"/>
            <w:vAlign w:val="bottom"/>
            <w:gridSpan w:val="2"/>
          </w:tcPr>
          <w:p>
            <w:pPr>
              <w:jc w:val="center"/>
              <w:ind w:right="100"/>
              <w:spacing w:after="0" w:line="92" w:lineRule="exact"/>
              <w:rPr>
                <w:sz w:val="20"/>
                <w:szCs w:val="20"/>
                <w:color w:val="auto"/>
              </w:rPr>
            </w:pPr>
            <w:r>
              <w:rPr>
                <w:rFonts w:ascii="Arial" w:cs="Arial" w:eastAsia="Arial" w:hAnsi="Arial"/>
                <w:sz w:val="10"/>
                <w:szCs w:val="10"/>
                <w:b w:val="1"/>
                <w:bCs w:val="1"/>
                <w:color w:val="auto"/>
                <w:w w:val="96"/>
              </w:rPr>
              <w:t>September 30,</w:t>
            </w:r>
          </w:p>
        </w:tc>
        <w:tc>
          <w:tcPr>
            <w:tcW w:w="1480" w:type="dxa"/>
            <w:vAlign w:val="bottom"/>
            <w:gridSpan w:val="2"/>
          </w:tcPr>
          <w:p>
            <w:pPr>
              <w:jc w:val="center"/>
              <w:ind w:right="80"/>
              <w:spacing w:after="0" w:line="92" w:lineRule="exact"/>
              <w:rPr>
                <w:sz w:val="20"/>
                <w:szCs w:val="20"/>
                <w:color w:val="auto"/>
              </w:rPr>
            </w:pPr>
            <w:r>
              <w:rPr>
                <w:rFonts w:ascii="Arial" w:cs="Arial" w:eastAsia="Arial" w:hAnsi="Arial"/>
                <w:sz w:val="10"/>
                <w:szCs w:val="10"/>
                <w:b w:val="1"/>
                <w:bCs w:val="1"/>
                <w:color w:val="auto"/>
                <w:w w:val="99"/>
              </w:rPr>
              <w:t>June 30,</w:t>
            </w:r>
          </w:p>
        </w:tc>
        <w:tc>
          <w:tcPr>
            <w:tcW w:w="1480" w:type="dxa"/>
            <w:vAlign w:val="bottom"/>
            <w:gridSpan w:val="2"/>
          </w:tcPr>
          <w:p>
            <w:pPr>
              <w:jc w:val="center"/>
              <w:ind w:right="60"/>
              <w:spacing w:after="0" w:line="92" w:lineRule="exact"/>
              <w:rPr>
                <w:sz w:val="20"/>
                <w:szCs w:val="20"/>
                <w:color w:val="auto"/>
              </w:rPr>
            </w:pPr>
            <w:r>
              <w:rPr>
                <w:rFonts w:ascii="Arial" w:cs="Arial" w:eastAsia="Arial" w:hAnsi="Arial"/>
                <w:sz w:val="10"/>
                <w:szCs w:val="10"/>
                <w:b w:val="1"/>
                <w:bCs w:val="1"/>
                <w:color w:val="auto"/>
                <w:w w:val="96"/>
              </w:rPr>
              <w:t>September 30,</w:t>
            </w:r>
          </w:p>
        </w:tc>
        <w:tc>
          <w:tcPr>
            <w:tcW w:w="142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140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24"/>
        </w:trPr>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Pr>
          <w:p>
            <w:pPr>
              <w:spacing w:after="0"/>
              <w:rPr>
                <w:sz w:val="10"/>
                <w:szCs w:val="10"/>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17145</wp:posOffset>
            </wp:positionV>
            <wp:extent cx="7178040"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760" w:space="200"/>
            <w:col w:w="7340"/>
          </w:cols>
          <w:pgMar w:left="300" w:top="135" w:right="29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3960" w:type="dxa"/>
            <w:vAlign w:val="bottom"/>
            <w:gridSpan w:val="2"/>
          </w:tcPr>
          <w:p>
            <w:pPr>
              <w:spacing w:after="0"/>
              <w:rPr>
                <w:sz w:val="20"/>
                <w:szCs w:val="20"/>
                <w:color w:val="auto"/>
              </w:rPr>
            </w:pPr>
            <w:r>
              <w:rPr>
                <w:rFonts w:ascii="Arial" w:cs="Arial" w:eastAsia="Arial" w:hAnsi="Arial"/>
                <w:sz w:val="10"/>
                <w:szCs w:val="10"/>
                <w:color w:val="auto"/>
              </w:rPr>
              <w:t>Beginning balance</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60,564</w:t>
            </w:r>
          </w:p>
        </w:tc>
        <w:tc>
          <w:tcPr>
            <w:tcW w:w="320" w:type="dxa"/>
            <w:vAlign w:val="bottom"/>
            <w:gridSpan w:val="4"/>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60,474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ind w:right="6"/>
              <w:spacing w:after="0"/>
              <w:rPr>
                <w:sz w:val="20"/>
                <w:szCs w:val="20"/>
                <w:color w:val="auto"/>
              </w:rPr>
            </w:pPr>
            <w:r>
              <w:rPr>
                <w:rFonts w:ascii="Arial" w:cs="Arial" w:eastAsia="Arial" w:hAnsi="Arial"/>
                <w:sz w:val="5"/>
                <w:szCs w:val="5"/>
                <w:color w:val="auto"/>
                <w:w w:val="70"/>
              </w:rPr>
              <w:t>$</w:t>
            </w:r>
          </w:p>
        </w:tc>
        <w:tc>
          <w:tcPr>
            <w:tcW w:w="2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41,659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41,690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tcPr>
          <w:p>
            <w:pPr>
              <w:jc w:val="right"/>
              <w:ind w:right="28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42,044</w:t>
            </w: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Allowance established in acquisition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19,957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396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(593)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375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(1,018)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1,466</w:t>
            </w:r>
          </w:p>
        </w:tc>
        <w:tc>
          <w:tcPr>
            <w:tcW w:w="0" w:type="dxa"/>
            <w:vAlign w:val="bottom"/>
          </w:tcPr>
          <w:p>
            <w:pPr>
              <w:spacing w:after="0"/>
              <w:rPr>
                <w:sz w:val="1"/>
                <w:szCs w:val="1"/>
                <w:color w:val="auto"/>
              </w:rPr>
            </w:pPr>
          </w:p>
        </w:tc>
      </w:tr>
      <w:tr>
        <w:trPr>
          <w:trHeight w:val="138"/>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Charge-offs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(314)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(1,867)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(2,640)</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Recoveries</w:t>
            </w: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1,056</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414</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589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1,713</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1,030</w:t>
            </w: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Ending balance</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60,475</w:t>
            </w:r>
          </w:p>
        </w:tc>
        <w:tc>
          <w:tcPr>
            <w:tcW w:w="320" w:type="dxa"/>
            <w:vAlign w:val="bottom"/>
            <w:gridSpan w:val="4"/>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60,564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41,900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60,475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41,900</w:t>
            </w:r>
          </w:p>
        </w:tc>
        <w:tc>
          <w:tcPr>
            <w:tcW w:w="0" w:type="dxa"/>
            <w:vAlign w:val="bottom"/>
          </w:tcPr>
          <w:p>
            <w:pPr>
              <w:spacing w:after="0"/>
              <w:rPr>
                <w:sz w:val="1"/>
                <w:szCs w:val="1"/>
                <w:color w:val="auto"/>
              </w:rPr>
            </w:pPr>
          </w:p>
        </w:tc>
      </w:tr>
      <w:tr>
        <w:trPr>
          <w:trHeight w:val="126"/>
        </w:trPr>
        <w:tc>
          <w:tcPr>
            <w:tcW w:w="40" w:type="dxa"/>
            <w:vAlign w:val="bottom"/>
            <w:tcBorders>
              <w:top w:val="single" w:sz="8" w:color="CCEEFF"/>
            </w:tcBorders>
          </w:tcPr>
          <w:p>
            <w:pPr>
              <w:spacing w:after="0"/>
              <w:rPr>
                <w:sz w:val="10"/>
                <w:szCs w:val="10"/>
                <w:color w:val="auto"/>
              </w:rPr>
            </w:pPr>
          </w:p>
        </w:tc>
        <w:tc>
          <w:tcPr>
            <w:tcW w:w="392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charge-offs (recoveries)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(504)</w:t>
            </w:r>
          </w:p>
        </w:tc>
        <w:tc>
          <w:tcPr>
            <w:tcW w:w="320" w:type="dxa"/>
            <w:vAlign w:val="bottom"/>
            <w:gridSpan w:val="4"/>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6"/>
              <w:spacing w:after="0"/>
              <w:rPr>
                <w:sz w:val="20"/>
                <w:szCs w:val="20"/>
                <w:color w:val="auto"/>
              </w:rPr>
            </w:pPr>
            <w:r>
              <w:rPr>
                <w:rFonts w:ascii="Arial" w:cs="Arial" w:eastAsia="Arial" w:hAnsi="Arial"/>
                <w:sz w:val="5"/>
                <w:szCs w:val="5"/>
                <w:color w:val="auto"/>
                <w:w w:val="70"/>
              </w:rPr>
              <w:t>$</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154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1,610</w:t>
            </w:r>
          </w:p>
        </w:tc>
        <w:tc>
          <w:tcPr>
            <w:tcW w:w="0" w:type="dxa"/>
            <w:vAlign w:val="bottom"/>
          </w:tcPr>
          <w:p>
            <w:pPr>
              <w:spacing w:after="0"/>
              <w:rPr>
                <w:sz w:val="1"/>
                <w:szCs w:val="1"/>
                <w:color w:val="auto"/>
              </w:rPr>
            </w:pPr>
          </w:p>
        </w:tc>
      </w:tr>
      <w:tr>
        <w:trPr>
          <w:trHeight w:val="132"/>
        </w:trPr>
        <w:tc>
          <w:tcPr>
            <w:tcW w:w="3960" w:type="dxa"/>
            <w:vAlign w:val="bottom"/>
            <w:gridSpan w:val="2"/>
          </w:tcPr>
          <w:p>
            <w:pPr>
              <w:spacing w:after="0"/>
              <w:rPr>
                <w:sz w:val="20"/>
                <w:szCs w:val="20"/>
                <w:color w:val="auto"/>
              </w:rPr>
            </w:pPr>
            <w:r>
              <w:rPr>
                <w:rFonts w:ascii="Arial" w:cs="Arial" w:eastAsia="Arial" w:hAnsi="Arial"/>
                <w:sz w:val="10"/>
                <w:szCs w:val="10"/>
                <w:color w:val="auto"/>
              </w:rPr>
              <w:t>Average loans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4,771,700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4,731,275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3,379,637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4,467,683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72"/>
              <w:spacing w:after="0"/>
              <w:rPr>
                <w:sz w:val="20"/>
                <w:szCs w:val="20"/>
                <w:color w:val="auto"/>
              </w:rPr>
            </w:pPr>
            <w:r>
              <w:rPr>
                <w:rFonts w:ascii="Arial" w:cs="Arial" w:eastAsia="Arial" w:hAnsi="Arial"/>
                <w:sz w:val="10"/>
                <w:szCs w:val="10"/>
                <w:color w:val="auto"/>
              </w:rPr>
              <w:t>3,419,077</w:t>
            </w:r>
          </w:p>
        </w:tc>
        <w:tc>
          <w:tcPr>
            <w:tcW w:w="0" w:type="dxa"/>
            <w:vAlign w:val="bottom"/>
          </w:tcPr>
          <w:p>
            <w:pPr>
              <w:spacing w:after="0"/>
              <w:rPr>
                <w:sz w:val="1"/>
                <w:szCs w:val="1"/>
                <w:color w:val="auto"/>
              </w:rPr>
            </w:pPr>
          </w:p>
        </w:tc>
      </w:tr>
      <w:tr>
        <w:trPr>
          <w:trHeight w:val="147"/>
        </w:trPr>
        <w:tc>
          <w:tcPr>
            <w:tcW w:w="39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60" w:type="dxa"/>
            <w:vAlign w:val="bottom"/>
            <w:gridSpan w:val="2"/>
          </w:tcPr>
          <w:p>
            <w:pPr>
              <w:spacing w:after="0"/>
              <w:rPr>
                <w:sz w:val="20"/>
                <w:szCs w:val="20"/>
                <w:color w:val="auto"/>
              </w:rPr>
            </w:pPr>
            <w:r>
              <w:rPr>
                <w:rFonts w:ascii="Arial" w:cs="Arial" w:eastAsia="Arial" w:hAnsi="Arial"/>
                <w:sz w:val="10"/>
                <w:szCs w:val="10"/>
                <w:color w:val="auto"/>
              </w:rPr>
              <w:t>Net charge-offs (recoveries) to average loans *</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(0.04)%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(0.01)%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0.02 %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0"/>
                <w:szCs w:val="10"/>
                <w:color w:val="auto"/>
              </w:rPr>
              <w:t>— %</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0.06 %</w:t>
            </w:r>
          </w:p>
        </w:tc>
        <w:tc>
          <w:tcPr>
            <w:tcW w:w="0" w:type="dxa"/>
            <w:vAlign w:val="bottom"/>
          </w:tcPr>
          <w:p>
            <w:pPr>
              <w:spacing w:after="0"/>
              <w:rPr>
                <w:sz w:val="1"/>
                <w:szCs w:val="1"/>
                <w:color w:val="auto"/>
              </w:rPr>
            </w:pPr>
          </w:p>
        </w:tc>
      </w:tr>
      <w:tr>
        <w:trPr>
          <w:trHeight w:val="181"/>
        </w:trPr>
        <w:tc>
          <w:tcPr>
            <w:tcW w:w="3960" w:type="dxa"/>
            <w:vAlign w:val="bottom"/>
            <w:gridSpan w:val="2"/>
          </w:tcPr>
          <w:p>
            <w:pPr>
              <w:spacing w:after="0"/>
              <w:rPr>
                <w:sz w:val="20"/>
                <w:szCs w:val="20"/>
                <w:color w:val="auto"/>
              </w:rPr>
            </w:pPr>
            <w:r>
              <w:rPr>
                <w:rFonts w:ascii="Arial" w:cs="Arial" w:eastAsia="Arial" w:hAnsi="Arial"/>
                <w:sz w:val="10"/>
                <w:szCs w:val="10"/>
                <w:color w:val="auto"/>
              </w:rPr>
              <w:t>____________________________________</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20"/>
                <w:szCs w:val="20"/>
                <w:color w:val="auto"/>
              </w:rPr>
            </w:pPr>
            <w:r>
              <w:rPr>
                <w:rFonts w:ascii="Arial" w:cs="Arial" w:eastAsia="Arial" w:hAnsi="Arial"/>
                <w:sz w:val="7"/>
                <w:szCs w:val="7"/>
                <w:color w:val="auto"/>
                <w:w w:val="71"/>
              </w:rPr>
              <w:t>*</w:t>
            </w:r>
          </w:p>
        </w:tc>
        <w:tc>
          <w:tcPr>
            <w:tcW w:w="3920" w:type="dxa"/>
            <w:vAlign w:val="bottom"/>
          </w:tcPr>
          <w:p>
            <w:pPr>
              <w:ind w:left="160"/>
              <w:spacing w:after="0"/>
              <w:rPr>
                <w:sz w:val="20"/>
                <w:szCs w:val="20"/>
                <w:color w:val="auto"/>
              </w:rPr>
            </w:pPr>
            <w:r>
              <w:rPr>
                <w:rFonts w:ascii="Arial" w:cs="Arial" w:eastAsia="Arial" w:hAnsi="Arial"/>
                <w:sz w:val="10"/>
                <w:szCs w:val="10"/>
                <w:color w:val="auto"/>
              </w:rPr>
              <w:t>Annualized measure.</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4"/>
              </w:rPr>
              <w:t>Three Months Ended</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7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396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jc w:val="right"/>
              <w:ind w:right="72"/>
              <w:spacing w:after="0" w:line="89" w:lineRule="exact"/>
              <w:rPr>
                <w:sz w:val="20"/>
                <w:szCs w:val="20"/>
                <w:color w:val="auto"/>
              </w:rPr>
            </w:pPr>
            <w:r>
              <w:rPr>
                <w:rFonts w:ascii="Arial" w:cs="Arial" w:eastAsia="Arial" w:hAnsi="Arial"/>
                <w:sz w:val="10"/>
                <w:szCs w:val="10"/>
                <w:b w:val="1"/>
                <w:bCs w:val="1"/>
                <w:color w:val="auto"/>
              </w:rPr>
              <w:t>September 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3"/>
          </w:tcPr>
          <w:p>
            <w:pPr>
              <w:jc w:val="center"/>
              <w:ind w:right="120"/>
              <w:spacing w:after="0" w:line="89" w:lineRule="exact"/>
              <w:rPr>
                <w:sz w:val="20"/>
                <w:szCs w:val="20"/>
                <w:color w:val="auto"/>
              </w:rPr>
            </w:pPr>
            <w:r>
              <w:rPr>
                <w:rFonts w:ascii="Arial" w:cs="Arial" w:eastAsia="Arial" w:hAnsi="Arial"/>
                <w:sz w:val="10"/>
                <w:szCs w:val="10"/>
                <w:b w:val="1"/>
                <w:bCs w:val="1"/>
                <w:color w:val="auto"/>
                <w:w w:val="94"/>
              </w:rPr>
              <w:t>June 30,</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tcPr>
          <w:p>
            <w:pPr>
              <w:jc w:val="right"/>
              <w:ind w:right="360"/>
              <w:spacing w:after="0" w:line="89" w:lineRule="exact"/>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vMerge w:val="restart"/>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vMerge w:val="restart"/>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3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PROVISION FOR CREDIT LOSSES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60" w:type="dxa"/>
            <w:vAlign w:val="bottom"/>
            <w:gridSpan w:val="2"/>
          </w:tcPr>
          <w:p>
            <w:pPr>
              <w:spacing w:after="0"/>
              <w:rPr>
                <w:sz w:val="20"/>
                <w:szCs w:val="20"/>
                <w:color w:val="auto"/>
              </w:rPr>
            </w:pPr>
            <w:r>
              <w:rPr>
                <w:rFonts w:ascii="Arial" w:cs="Arial" w:eastAsia="Arial" w:hAnsi="Arial"/>
                <w:sz w:val="10"/>
                <w:szCs w:val="10"/>
                <w:color w:val="auto"/>
              </w:rPr>
              <w:t>Loans</w:t>
            </w: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1"/>
                <w:szCs w:val="1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0"/>
                <w:szCs w:val="10"/>
                <w:color w:val="auto"/>
                <w:w w:val="85"/>
              </w:rPr>
              <w:t>(593)</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gridSpan w:val="3"/>
          </w:tcPr>
          <w:p>
            <w:pPr>
              <w:jc w:val="right"/>
              <w:spacing w:after="0"/>
              <w:rPr>
                <w:sz w:val="20"/>
                <w:szCs w:val="20"/>
                <w:color w:val="auto"/>
              </w:rPr>
            </w:pPr>
            <w:r>
              <w:rPr>
                <w:rFonts w:ascii="Arial" w:cs="Arial" w:eastAsia="Arial" w:hAnsi="Arial"/>
                <w:sz w:val="10"/>
                <w:szCs w:val="10"/>
                <w:color w:val="auto"/>
              </w:rPr>
              <w:t>(10)</w:t>
            </w: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0"/>
                <w:szCs w:val="10"/>
                <w:color w:val="auto"/>
              </w:rPr>
              <w:t>375</w:t>
            </w:r>
          </w:p>
        </w:tc>
        <w:tc>
          <w:tcPr>
            <w:tcW w:w="40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0"/>
                <w:szCs w:val="10"/>
                <w:color w:val="auto"/>
              </w:rPr>
              <w:t>(1,018)</w:t>
            </w:r>
          </w:p>
        </w:tc>
        <w:tc>
          <w:tcPr>
            <w:tcW w:w="6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1,466</w:t>
            </w: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Unfunded lending-related commitments</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32</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686</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221</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977</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232</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3920" w:type="dxa"/>
            <w:vAlign w:val="bottom"/>
          </w:tcPr>
          <w:p>
            <w:pPr>
              <w:ind w:left="40"/>
              <w:spacing w:after="0"/>
              <w:rPr>
                <w:sz w:val="20"/>
                <w:szCs w:val="20"/>
                <w:color w:val="auto"/>
              </w:rPr>
            </w:pPr>
            <w:r>
              <w:rPr>
                <w:rFonts w:ascii="Arial" w:cs="Arial" w:eastAsia="Arial" w:hAnsi="Arial"/>
                <w:sz w:val="10"/>
                <w:szCs w:val="10"/>
                <w:b w:val="1"/>
                <w:bCs w:val="1"/>
                <w:color w:val="auto"/>
              </w:rPr>
              <w:t>Total provision for credit losses</w:t>
            </w: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920" w:type="dxa"/>
            <w:vAlign w:val="bottom"/>
          </w:tcPr>
          <w:p>
            <w:pPr>
              <w:spacing w:after="0"/>
              <w:rPr>
                <w:sz w:val="11"/>
                <w:szCs w:val="1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0"/>
                <w:szCs w:val="10"/>
                <w:color w:val="auto"/>
                <w:w w:val="85"/>
              </w:rPr>
              <w:t>(561)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0"/>
                <w:szCs w:val="10"/>
                <w:color w:val="auto"/>
              </w:rPr>
              <w:t>676</w:t>
            </w:r>
          </w:p>
        </w:tc>
        <w:tc>
          <w:tcPr>
            <w:tcW w:w="2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0"/>
                <w:szCs w:val="10"/>
                <w:color w:val="auto"/>
              </w:rPr>
              <w:t>596</w:t>
            </w:r>
          </w:p>
        </w:tc>
        <w:tc>
          <w:tcPr>
            <w:tcW w:w="40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0"/>
                <w:szCs w:val="10"/>
                <w:color w:val="auto"/>
              </w:rPr>
              <w:t>(41)</w:t>
            </w:r>
          </w:p>
        </w:tc>
        <w:tc>
          <w:tcPr>
            <w:tcW w:w="6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1,698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35" w:right="299" w:bottom="1440" w:gutter="0" w:footer="0" w:header="0"/>
          <w:type w:val="continuous"/>
        </w:sectPr>
      </w:pPr>
    </w:p>
    <w:bookmarkStart w:id="17" w:name="page18"/>
    <w:bookmarkEnd w:id="17"/>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15</w:t>
      </w:r>
    </w:p>
    <w:p>
      <w:pPr>
        <w:spacing w:after="0" w:line="200" w:lineRule="exact"/>
        <w:rPr>
          <w:sz w:val="20"/>
          <w:szCs w:val="20"/>
          <w:color w:val="auto"/>
        </w:rPr>
      </w:pPr>
    </w:p>
    <w:p>
      <w:pPr>
        <w:spacing w:after="0" w:line="242" w:lineRule="exact"/>
        <w:rPr>
          <w:sz w:val="20"/>
          <w:szCs w:val="20"/>
          <w:color w:val="auto"/>
        </w:rPr>
      </w:pPr>
    </w:p>
    <w:p>
      <w:pPr>
        <w:jc w:val="center"/>
        <w:ind w:right="-27"/>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ind w:right="-27"/>
        <w:spacing w:after="0"/>
        <w:rPr>
          <w:sz w:val="20"/>
          <w:szCs w:val="20"/>
          <w:color w:val="auto"/>
        </w:rPr>
      </w:pPr>
      <w:r>
        <w:rPr>
          <w:rFonts w:ascii="Arial" w:cs="Arial" w:eastAsia="Arial" w:hAnsi="Arial"/>
          <w:sz w:val="10"/>
          <w:szCs w:val="10"/>
          <w:b w:val="1"/>
          <w:bCs w:val="1"/>
          <w:color w:val="auto"/>
        </w:rPr>
        <w:t>Adjusted Net Income and Adjusted Return on Average Assets</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1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4"/>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340" w:type="dxa"/>
            <w:vAlign w:val="bottom"/>
            <w:tcBorders>
              <w:top w:val="single" w:sz="8" w:color="auto"/>
              <w:bottom w:val="single" w:sz="8" w:color="auto"/>
            </w:tcBorders>
            <w:gridSpan w:val="4"/>
          </w:tcPr>
          <w:p>
            <w:pPr>
              <w:jc w:val="right"/>
              <w:ind w:right="47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41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7"/>
                <w:szCs w:val="7"/>
                <w:color w:val="auto"/>
              </w:rPr>
            </w:pPr>
          </w:p>
        </w:tc>
        <w:tc>
          <w:tcPr>
            <w:tcW w:w="128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7"/>
                <w:szCs w:val="7"/>
                <w:color w:val="auto"/>
              </w:rPr>
            </w:pPr>
          </w:p>
        </w:tc>
        <w:tc>
          <w:tcPr>
            <w:tcW w:w="1340" w:type="dxa"/>
            <w:vAlign w:val="bottom"/>
            <w:gridSpan w:val="2"/>
          </w:tcPr>
          <w:p>
            <w:pPr>
              <w:jc w:val="center"/>
              <w:ind w:right="240"/>
              <w:spacing w:after="0" w:line="89" w:lineRule="exact"/>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7"/>
                <w:szCs w:val="7"/>
                <w:color w:val="auto"/>
              </w:rPr>
            </w:pPr>
          </w:p>
        </w:tc>
        <w:tc>
          <w:tcPr>
            <w:tcW w:w="128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300" w:type="dxa"/>
            <w:vAlign w:val="bottom"/>
          </w:tcPr>
          <w:p>
            <w:pPr>
              <w:spacing w:after="0"/>
              <w:rPr>
                <w:sz w:val="7"/>
                <w:szCs w:val="7"/>
                <w:color w:val="auto"/>
              </w:rPr>
            </w:pPr>
          </w:p>
        </w:tc>
        <w:tc>
          <w:tcPr>
            <w:tcW w:w="980" w:type="dxa"/>
            <w:vAlign w:val="bottom"/>
            <w:vMerge w:val="restart"/>
          </w:tcPr>
          <w:p>
            <w:pPr>
              <w:jc w:val="right"/>
              <w:ind w:right="4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vMerge w:val="restart"/>
          </w:tcPr>
          <w:p>
            <w:pPr>
              <w:jc w:val="right"/>
              <w:ind w:right="4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412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20" w:type="dxa"/>
            <w:vAlign w:val="bottom"/>
            <w:shd w:val="clear" w:color="auto" w:fill="CCEEFF"/>
          </w:tcPr>
          <w:p>
            <w:pPr>
              <w:spacing w:after="0"/>
              <w:rPr>
                <w:sz w:val="20"/>
                <w:szCs w:val="20"/>
                <w:color w:val="auto"/>
              </w:rPr>
            </w:pPr>
            <w:r>
              <w:rPr>
                <w:rFonts w:ascii="Arial" w:cs="Arial" w:eastAsia="Arial" w:hAnsi="Arial"/>
                <w:sz w:val="10"/>
                <w:szCs w:val="10"/>
                <w:color w:val="auto"/>
              </w:rPr>
              <w:t>Net income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31,392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27,844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19,765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70,436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58,070</w:t>
            </w:r>
          </w:p>
        </w:tc>
        <w:tc>
          <w:tcPr>
            <w:tcW w:w="0" w:type="dxa"/>
            <w:vAlign w:val="bottom"/>
          </w:tcPr>
          <w:p>
            <w:pPr>
              <w:spacing w:after="0"/>
              <w:rPr>
                <w:sz w:val="1"/>
                <w:szCs w:val="1"/>
                <w:color w:val="auto"/>
              </w:rPr>
            </w:pPr>
          </w:p>
        </w:tc>
      </w:tr>
      <w:tr>
        <w:trPr>
          <w:trHeight w:val="132"/>
        </w:trPr>
        <w:tc>
          <w:tcPr>
            <w:tcW w:w="4120" w:type="dxa"/>
            <w:vAlign w:val="bottom"/>
          </w:tcPr>
          <w:p>
            <w:pPr>
              <w:spacing w:after="0"/>
              <w:rPr>
                <w:sz w:val="20"/>
                <w:szCs w:val="20"/>
                <w:color w:val="auto"/>
              </w:rPr>
            </w:pPr>
            <w:r>
              <w:rPr>
                <w:rFonts w:ascii="Arial" w:cs="Arial" w:eastAsia="Arial" w:hAnsi="Arial"/>
                <w:sz w:val="10"/>
                <w:szCs w:val="10"/>
                <w:color w:val="auto"/>
              </w:rPr>
              <w:t>Less: adjustments</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ind w:left="60"/>
              <w:spacing w:after="0"/>
              <w:rPr>
                <w:sz w:val="20"/>
                <w:szCs w:val="20"/>
                <w:color w:val="auto"/>
              </w:rPr>
            </w:pPr>
            <w:r>
              <w:rPr>
                <w:rFonts w:ascii="Arial" w:cs="Arial" w:eastAsia="Arial" w:hAnsi="Arial"/>
                <w:sz w:val="10"/>
                <w:szCs w:val="10"/>
                <w:color w:val="auto"/>
              </w:rPr>
              <w:t>Acquisition expenses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(16,928)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4120" w:type="dxa"/>
            <w:vAlign w:val="bottom"/>
          </w:tcPr>
          <w:p>
            <w:pPr>
              <w:ind w:left="60"/>
              <w:spacing w:after="0"/>
              <w:rPr>
                <w:sz w:val="20"/>
                <w:szCs w:val="20"/>
                <w:color w:val="auto"/>
              </w:rPr>
            </w:pPr>
            <w:r>
              <w:rPr>
                <w:rFonts w:ascii="Arial" w:cs="Arial" w:eastAsia="Arial" w:hAnsi="Arial"/>
                <w:sz w:val="10"/>
                <w:szCs w:val="10"/>
                <w:color w:val="auto"/>
              </w:rPr>
              <w:t>Net earnings (losses) on closed or sold operations</w:t>
            </w:r>
          </w:p>
        </w:tc>
        <w:tc>
          <w:tcPr>
            <w:tcW w:w="220" w:type="dxa"/>
            <w:vAlign w:val="bottom"/>
          </w:tcPr>
          <w:p>
            <w:pPr>
              <w:spacing w:after="0"/>
              <w:rPr>
                <w:sz w:val="11"/>
                <w:szCs w:val="1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47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51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ind w:left="60"/>
              <w:spacing w:after="0"/>
              <w:rPr>
                <w:sz w:val="20"/>
                <w:szCs w:val="20"/>
                <w:color w:val="auto"/>
              </w:rPr>
            </w:pPr>
            <w:r>
              <w:rPr>
                <w:rFonts w:ascii="Arial" w:cs="Arial" w:eastAsia="Arial" w:hAnsi="Arial"/>
                <w:sz w:val="10"/>
                <w:szCs w:val="10"/>
                <w:color w:val="auto"/>
              </w:rPr>
              <w:t>Loss on extinguishment of debt</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(391)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(391)</w:t>
            </w:r>
          </w:p>
        </w:tc>
        <w:tc>
          <w:tcPr>
            <w:tcW w:w="0" w:type="dxa"/>
            <w:vAlign w:val="bottom"/>
          </w:tcPr>
          <w:p>
            <w:pPr>
              <w:spacing w:after="0"/>
              <w:rPr>
                <w:sz w:val="1"/>
                <w:szCs w:val="1"/>
                <w:color w:val="auto"/>
              </w:rPr>
            </w:pPr>
          </w:p>
        </w:tc>
      </w:tr>
      <w:tr>
        <w:trPr>
          <w:trHeight w:val="132"/>
        </w:trPr>
        <w:tc>
          <w:tcPr>
            <w:tcW w:w="4120" w:type="dxa"/>
            <w:vAlign w:val="bottom"/>
          </w:tcPr>
          <w:p>
            <w:pPr>
              <w:ind w:left="60"/>
              <w:spacing w:after="0"/>
              <w:rPr>
                <w:sz w:val="20"/>
                <w:szCs w:val="20"/>
                <w:color w:val="auto"/>
              </w:rPr>
            </w:pPr>
            <w:r>
              <w:rPr>
                <w:rFonts w:ascii="Arial" w:cs="Arial" w:eastAsia="Arial" w:hAnsi="Arial"/>
                <w:sz w:val="10"/>
                <w:szCs w:val="10"/>
                <w:color w:val="auto"/>
              </w:rPr>
              <w:t>Gains (losses) on closed branch premises</w:t>
            </w:r>
          </w:p>
        </w:tc>
        <w:tc>
          <w:tcPr>
            <w:tcW w:w="220" w:type="dxa"/>
            <w:vAlign w:val="bottom"/>
          </w:tcPr>
          <w:p>
            <w:pPr>
              <w:spacing w:after="0"/>
              <w:rPr>
                <w:sz w:val="11"/>
                <w:szCs w:val="11"/>
                <w:color w:val="auto"/>
              </w:rPr>
            </w:pPr>
          </w:p>
        </w:tc>
        <w:tc>
          <w:tcPr>
            <w:tcW w:w="1200" w:type="dxa"/>
            <w:vAlign w:val="bottom"/>
          </w:tcPr>
          <w:p>
            <w:pPr>
              <w:jc w:val="right"/>
              <w:ind w:right="52"/>
              <w:spacing w:after="0"/>
              <w:rPr>
                <w:sz w:val="20"/>
                <w:szCs w:val="20"/>
                <w:color w:val="auto"/>
              </w:rPr>
            </w:pPr>
            <w:r>
              <w:rPr>
                <w:rFonts w:ascii="Arial" w:cs="Arial" w:eastAsia="Arial" w:hAnsi="Arial"/>
                <w:sz w:val="10"/>
                <w:szCs w:val="10"/>
                <w:color w:val="auto"/>
              </w:rPr>
              <w:t>(61)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200" w:type="dxa"/>
            <w:vAlign w:val="bottom"/>
          </w:tcPr>
          <w:p>
            <w:pPr>
              <w:jc w:val="right"/>
              <w:ind w:right="52"/>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rPr>
              <w:t>(271)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Realized gains (losses) on sales of securities</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32"/>
        </w:trPr>
        <w:tc>
          <w:tcPr>
            <w:tcW w:w="41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Mortgage servicing rights fair value adjustment</w:t>
            </w: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1,460</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(751)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(514)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906</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27"/>
        </w:trPr>
        <w:tc>
          <w:tcPr>
            <w:tcW w:w="4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adjustments</w:t>
            </w: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(961)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(961)</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(16,426)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(2,011)</w:t>
            </w:r>
          </w:p>
        </w:tc>
        <w:tc>
          <w:tcPr>
            <w:tcW w:w="0" w:type="dxa"/>
            <w:vAlign w:val="bottom"/>
          </w:tcPr>
          <w:p>
            <w:pPr>
              <w:spacing w:after="0"/>
              <w:rPr>
                <w:sz w:val="1"/>
                <w:szCs w:val="1"/>
                <w:color w:val="auto"/>
              </w:rPr>
            </w:pPr>
          </w:p>
        </w:tc>
      </w:tr>
      <w:tr>
        <w:trPr>
          <w:trHeight w:val="135"/>
        </w:trPr>
        <w:tc>
          <w:tcPr>
            <w:tcW w:w="412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0"/>
                <w:szCs w:val="10"/>
                <w:color w:val="auto"/>
              </w:rPr>
              <w:t xml:space="preserve">Tax effect of adjustments </w:t>
            </w:r>
            <w:r>
              <w:rPr>
                <w:rFonts w:ascii="Arial" w:cs="Arial" w:eastAsia="Arial" w:hAnsi="Arial"/>
                <w:sz w:val="12"/>
                <w:szCs w:val="12"/>
                <w:color w:val="auto"/>
                <w:vertAlign w:val="superscript"/>
              </w:rPr>
              <w:t>(1)</w:t>
            </w: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(229)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4,306</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573</w:t>
            </w:r>
          </w:p>
        </w:tc>
        <w:tc>
          <w:tcPr>
            <w:tcW w:w="0" w:type="dxa"/>
            <w:vAlign w:val="bottom"/>
          </w:tcPr>
          <w:p>
            <w:pPr>
              <w:spacing w:after="0"/>
              <w:rPr>
                <w:sz w:val="1"/>
                <w:szCs w:val="1"/>
                <w:color w:val="auto"/>
              </w:rPr>
            </w:pPr>
          </w:p>
        </w:tc>
      </w:tr>
      <w:tr>
        <w:trPr>
          <w:trHeight w:val="121"/>
        </w:trPr>
        <w:tc>
          <w:tcPr>
            <w:tcW w:w="4120" w:type="dxa"/>
            <w:vAlign w:val="bottom"/>
            <w:shd w:val="clear" w:color="auto" w:fill="CCEEFF"/>
          </w:tcPr>
          <w:p>
            <w:pPr>
              <w:ind w:left="160"/>
              <w:spacing w:after="0"/>
              <w:rPr>
                <w:sz w:val="20"/>
                <w:szCs w:val="20"/>
                <w:color w:val="auto"/>
              </w:rPr>
            </w:pPr>
            <w:r>
              <w:rPr>
                <w:rFonts w:ascii="Arial" w:cs="Arial" w:eastAsia="Arial" w:hAnsi="Arial"/>
                <w:sz w:val="10"/>
                <w:szCs w:val="10"/>
                <w:color w:val="auto"/>
              </w:rPr>
              <w:t>Total adjustments after tax effect</w:t>
            </w:r>
          </w:p>
        </w:tc>
        <w:tc>
          <w:tcPr>
            <w:tcW w:w="2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(691)</w:t>
            </w: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(687)</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(12,120)</w:t>
            </w:r>
          </w:p>
        </w:tc>
        <w:tc>
          <w:tcPr>
            <w:tcW w:w="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(1,438)</w:t>
            </w:r>
          </w:p>
        </w:tc>
        <w:tc>
          <w:tcPr>
            <w:tcW w:w="0" w:type="dxa"/>
            <w:vAlign w:val="bottom"/>
          </w:tcPr>
          <w:p>
            <w:pPr>
              <w:spacing w:after="0"/>
              <w:rPr>
                <w:sz w:val="1"/>
                <w:szCs w:val="1"/>
                <w:color w:val="auto"/>
              </w:rPr>
            </w:pPr>
          </w:p>
        </w:tc>
      </w:tr>
      <w:tr>
        <w:trPr>
          <w:trHeight w:val="143"/>
        </w:trPr>
        <w:tc>
          <w:tcPr>
            <w:tcW w:w="412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Adjusted net income</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31,411</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28,535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20,452</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82,556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59,508</w:t>
            </w:r>
          </w:p>
        </w:tc>
        <w:tc>
          <w:tcPr>
            <w:tcW w:w="0" w:type="dxa"/>
            <w:vAlign w:val="bottom"/>
          </w:tcPr>
          <w:p>
            <w:pPr>
              <w:spacing w:after="0"/>
              <w:rPr>
                <w:sz w:val="1"/>
                <w:szCs w:val="1"/>
                <w:color w:val="auto"/>
              </w:rPr>
            </w:pPr>
          </w:p>
        </w:tc>
      </w:tr>
      <w:tr>
        <w:trPr>
          <w:trHeight w:val="90"/>
        </w:trPr>
        <w:tc>
          <w:tcPr>
            <w:tcW w:w="4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20"/>
                <w:szCs w:val="20"/>
                <w:color w:val="auto"/>
              </w:rPr>
            </w:pPr>
            <w:r>
              <w:rPr>
                <w:rFonts w:ascii="Arial" w:cs="Arial" w:eastAsia="Arial" w:hAnsi="Arial"/>
                <w:sz w:val="10"/>
                <w:szCs w:val="10"/>
                <w:color w:val="auto"/>
              </w:rPr>
              <w:t>Average assets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6,739,611</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6,733,916</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5,027,161</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6,398,667</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5,031,491</w:t>
            </w:r>
          </w:p>
        </w:tc>
        <w:tc>
          <w:tcPr>
            <w:tcW w:w="0" w:type="dxa"/>
            <w:vAlign w:val="bottom"/>
          </w:tcPr>
          <w:p>
            <w:pPr>
              <w:spacing w:after="0"/>
              <w:rPr>
                <w:sz w:val="1"/>
                <w:szCs w:val="1"/>
                <w:color w:val="auto"/>
              </w:rPr>
            </w:pPr>
          </w:p>
        </w:tc>
      </w:tr>
      <w:tr>
        <w:trPr>
          <w:trHeight w:val="111"/>
        </w:trPr>
        <w:tc>
          <w:tcPr>
            <w:tcW w:w="4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20"/>
                <w:szCs w:val="20"/>
                <w:color w:val="auto"/>
              </w:rPr>
            </w:pPr>
            <w:r>
              <w:rPr>
                <w:rFonts w:ascii="Arial" w:cs="Arial" w:eastAsia="Arial" w:hAnsi="Arial"/>
                <w:sz w:val="10"/>
                <w:szCs w:val="10"/>
                <w:color w:val="auto"/>
              </w:rPr>
              <w:t>Return on average assets *</w:t>
            </w: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1.85 %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1.66 %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1.56 %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1.47 %</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1.54 %</w:t>
            </w:r>
          </w:p>
        </w:tc>
        <w:tc>
          <w:tcPr>
            <w:tcW w:w="0" w:type="dxa"/>
            <w:vAlign w:val="bottom"/>
          </w:tcPr>
          <w:p>
            <w:pPr>
              <w:spacing w:after="0"/>
              <w:rPr>
                <w:sz w:val="1"/>
                <w:szCs w:val="1"/>
                <w:color w:val="auto"/>
              </w:rPr>
            </w:pPr>
          </w:p>
        </w:tc>
      </w:tr>
      <w:tr>
        <w:trPr>
          <w:trHeight w:val="138"/>
        </w:trPr>
        <w:tc>
          <w:tcPr>
            <w:tcW w:w="4120" w:type="dxa"/>
            <w:vAlign w:val="bottom"/>
            <w:shd w:val="clear" w:color="auto" w:fill="CCEEFF"/>
          </w:tcPr>
          <w:p>
            <w:pPr>
              <w:spacing w:after="0"/>
              <w:rPr>
                <w:sz w:val="20"/>
                <w:szCs w:val="20"/>
                <w:color w:val="auto"/>
              </w:rPr>
            </w:pPr>
            <w:r>
              <w:rPr>
                <w:rFonts w:ascii="Arial" w:cs="Arial" w:eastAsia="Arial" w:hAnsi="Arial"/>
                <w:sz w:val="10"/>
                <w:szCs w:val="10"/>
                <w:color w:val="auto"/>
              </w:rPr>
              <w:t>Adjusted return on average assets *</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1.58</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Assumes a federal income tax rate of 21% and a state income tax rate of 9.5%, and excludes non-deductible acquisition expenses.</w:t>
      </w:r>
    </w:p>
    <w:p>
      <w:pPr>
        <w:spacing w:after="0" w:line="136" w:lineRule="exact"/>
        <w:rPr>
          <w:sz w:val="20"/>
          <w:szCs w:val="20"/>
          <w:color w:val="auto"/>
        </w:rPr>
      </w:pPr>
    </w:p>
    <w:p>
      <w:pPr>
        <w:ind w:left="4508"/>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3" w:lineRule="exact"/>
        <w:rPr>
          <w:sz w:val="20"/>
          <w:szCs w:val="20"/>
          <w:color w:val="auto"/>
        </w:rPr>
      </w:pPr>
    </w:p>
    <w:p>
      <w:pPr>
        <w:ind w:left="4508"/>
        <w:spacing w:after="0"/>
        <w:rPr>
          <w:sz w:val="20"/>
          <w:szCs w:val="20"/>
          <w:color w:val="auto"/>
        </w:rPr>
      </w:pPr>
      <w:r>
        <w:rPr>
          <w:rFonts w:ascii="Arial" w:cs="Arial" w:eastAsia="Arial" w:hAnsi="Arial"/>
          <w:sz w:val="10"/>
          <w:szCs w:val="10"/>
          <w:b w:val="1"/>
          <w:bCs w:val="1"/>
          <w:color w:val="auto"/>
        </w:rPr>
        <w:t>Adjusted Earnings Per Share — Basic and Diluted</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3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280" w:type="dxa"/>
            <w:vAlign w:val="bottom"/>
            <w:tcBorders>
              <w:top w:val="single" w:sz="8" w:color="auto"/>
              <w:bottom w:val="single" w:sz="8" w:color="auto"/>
            </w:tcBorders>
            <w:gridSpan w:val="4"/>
          </w:tcPr>
          <w:p>
            <w:pPr>
              <w:jc w:val="right"/>
              <w:ind w:right="43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1"/>
        </w:trPr>
        <w:tc>
          <w:tcPr>
            <w:tcW w:w="43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220" w:type="dxa"/>
            <w:vAlign w:val="bottom"/>
          </w:tcPr>
          <w:p>
            <w:pPr>
              <w:spacing w:after="0"/>
              <w:rPr>
                <w:sz w:val="7"/>
                <w:szCs w:val="7"/>
                <w:color w:val="auto"/>
              </w:rPr>
            </w:pPr>
          </w:p>
        </w:tc>
        <w:tc>
          <w:tcPr>
            <w:tcW w:w="1240" w:type="dxa"/>
            <w:vAlign w:val="bottom"/>
            <w:gridSpan w:val="2"/>
          </w:tcPr>
          <w:p>
            <w:pPr>
              <w:ind w:left="140"/>
              <w:spacing w:after="0" w:line="92"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320" w:type="dxa"/>
            <w:vAlign w:val="bottom"/>
            <w:gridSpan w:val="2"/>
          </w:tcPr>
          <w:p>
            <w:pPr>
              <w:jc w:val="center"/>
              <w:ind w:right="220"/>
              <w:spacing w:after="0" w:line="92" w:lineRule="exact"/>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7"/>
                <w:szCs w:val="7"/>
                <w:color w:val="auto"/>
              </w:rPr>
            </w:pPr>
          </w:p>
        </w:tc>
        <w:tc>
          <w:tcPr>
            <w:tcW w:w="1260" w:type="dxa"/>
            <w:vAlign w:val="bottom"/>
            <w:gridSpan w:val="2"/>
          </w:tcPr>
          <w:p>
            <w:pPr>
              <w:ind w:left="160"/>
              <w:spacing w:after="0" w:line="92" w:lineRule="exact"/>
              <w:rPr>
                <w:sz w:val="20"/>
                <w:szCs w:val="20"/>
                <w:color w:val="auto"/>
              </w:rPr>
            </w:pPr>
            <w:r>
              <w:rPr>
                <w:rFonts w:ascii="Arial" w:cs="Arial" w:eastAsia="Arial" w:hAnsi="Arial"/>
                <w:sz w:val="10"/>
                <w:szCs w:val="10"/>
                <w:b w:val="1"/>
                <w:bCs w:val="1"/>
                <w:color w:val="auto"/>
              </w:rPr>
              <w:t>September 30,</w:t>
            </w:r>
          </w:p>
        </w:tc>
        <w:tc>
          <w:tcPr>
            <w:tcW w:w="260" w:type="dxa"/>
            <w:vAlign w:val="bottom"/>
          </w:tcPr>
          <w:p>
            <w:pPr>
              <w:spacing w:after="0"/>
              <w:rPr>
                <w:sz w:val="7"/>
                <w:szCs w:val="7"/>
                <w:color w:val="auto"/>
              </w:rPr>
            </w:pPr>
          </w:p>
        </w:tc>
        <w:tc>
          <w:tcPr>
            <w:tcW w:w="960" w:type="dxa"/>
            <w:vAlign w:val="bottom"/>
            <w:vMerge w:val="restart"/>
          </w:tcPr>
          <w:p>
            <w:pPr>
              <w:jc w:val="right"/>
              <w:ind w:right="4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vMerge w:val="restart"/>
          </w:tcPr>
          <w:p>
            <w:pPr>
              <w:jc w:val="right"/>
              <w:ind w:right="4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2"/>
        </w:trPr>
        <w:tc>
          <w:tcPr>
            <w:tcW w:w="432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Numerator:</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32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31,392</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27,844</w:t>
            </w:r>
          </w:p>
        </w:tc>
        <w:tc>
          <w:tcPr>
            <w:tcW w:w="8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19,765</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70,436</w:t>
            </w:r>
          </w:p>
        </w:tc>
        <w:tc>
          <w:tcPr>
            <w:tcW w:w="8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58,070</w:t>
            </w:r>
          </w:p>
        </w:tc>
        <w:tc>
          <w:tcPr>
            <w:tcW w:w="0" w:type="dxa"/>
            <w:vAlign w:val="bottom"/>
          </w:tcPr>
          <w:p>
            <w:pPr>
              <w:spacing w:after="0"/>
              <w:rPr>
                <w:sz w:val="1"/>
                <w:szCs w:val="1"/>
                <w:color w:val="auto"/>
              </w:rPr>
            </w:pPr>
          </w:p>
        </w:tc>
      </w:tr>
      <w:tr>
        <w:trPr>
          <w:trHeight w:val="111"/>
        </w:trPr>
        <w:tc>
          <w:tcPr>
            <w:tcW w:w="4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320" w:type="dxa"/>
            <w:vAlign w:val="bottom"/>
          </w:tcPr>
          <w:p>
            <w:pPr>
              <w:ind w:left="60"/>
              <w:spacing w:after="0"/>
              <w:rPr>
                <w:sz w:val="20"/>
                <w:szCs w:val="20"/>
                <w:color w:val="auto"/>
              </w:rPr>
            </w:pPr>
            <w:r>
              <w:rPr>
                <w:rFonts w:ascii="Arial" w:cs="Arial" w:eastAsia="Arial" w:hAnsi="Arial"/>
                <w:sz w:val="10"/>
                <w:szCs w:val="10"/>
                <w:color w:val="auto"/>
              </w:rPr>
              <w:t>Adjusted net income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31,411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0"/>
                <w:szCs w:val="10"/>
                <w:color w:val="auto"/>
              </w:rPr>
              <w:t>28,535</w:t>
            </w:r>
          </w:p>
        </w:tc>
        <w:tc>
          <w:tcPr>
            <w:tcW w:w="8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20,452</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82,556</w:t>
            </w:r>
          </w:p>
        </w:tc>
        <w:tc>
          <w:tcPr>
            <w:tcW w:w="80" w:type="dxa"/>
            <w:vAlign w:val="bottom"/>
          </w:tcPr>
          <w:p>
            <w:pPr>
              <w:spacing w:after="0"/>
              <w:rPr>
                <w:sz w:val="11"/>
                <w:szCs w:val="11"/>
                <w:color w:val="auto"/>
              </w:rPr>
            </w:pP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59,508</w:t>
            </w:r>
          </w:p>
        </w:tc>
        <w:tc>
          <w:tcPr>
            <w:tcW w:w="0" w:type="dxa"/>
            <w:vAlign w:val="bottom"/>
          </w:tcPr>
          <w:p>
            <w:pPr>
              <w:spacing w:after="0"/>
              <w:rPr>
                <w:sz w:val="1"/>
                <w:szCs w:val="1"/>
                <w:color w:val="auto"/>
              </w:rPr>
            </w:pPr>
          </w:p>
        </w:tc>
      </w:tr>
      <w:tr>
        <w:trPr>
          <w:trHeight w:val="111"/>
        </w:trPr>
        <w:tc>
          <w:tcPr>
            <w:tcW w:w="4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320" w:type="dxa"/>
            <w:vAlign w:val="bottom"/>
          </w:tcPr>
          <w:p>
            <w:pPr>
              <w:spacing w:after="0"/>
              <w:rPr>
                <w:sz w:val="20"/>
                <w:szCs w:val="20"/>
                <w:color w:val="auto"/>
              </w:rPr>
            </w:pPr>
            <w:r>
              <w:rPr>
                <w:rFonts w:ascii="Arial" w:cs="Arial" w:eastAsia="Arial" w:hAnsi="Arial"/>
                <w:sz w:val="10"/>
                <w:szCs w:val="10"/>
                <w:b w:val="1"/>
                <w:bCs w:val="1"/>
                <w:color w:val="auto"/>
              </w:rPr>
              <w:t>Denominator:</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320" w:type="dxa"/>
            <w:vAlign w:val="bottom"/>
            <w:shd w:val="clear" w:color="auto" w:fill="CCEEFF"/>
          </w:tcPr>
          <w:p>
            <w:pPr>
              <w:ind w:left="60"/>
              <w:spacing w:after="0"/>
              <w:rPr>
                <w:sz w:val="20"/>
                <w:szCs w:val="20"/>
                <w:color w:val="auto"/>
              </w:rPr>
            </w:pPr>
            <w:r>
              <w:rPr>
                <w:rFonts w:ascii="Arial" w:cs="Arial" w:eastAsia="Arial" w:hAnsi="Arial"/>
                <w:sz w:val="10"/>
                <w:szCs w:val="10"/>
                <w:color w:val="auto"/>
              </w:rPr>
              <w:t>Weighted average common shares outstanding</w:t>
            </w: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36,365,612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36,373,749</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31,481,135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35,318,125</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31,525,247</w:t>
            </w:r>
          </w:p>
        </w:tc>
        <w:tc>
          <w:tcPr>
            <w:tcW w:w="0" w:type="dxa"/>
            <w:vAlign w:val="bottom"/>
          </w:tcPr>
          <w:p>
            <w:pPr>
              <w:spacing w:after="0"/>
              <w:rPr>
                <w:sz w:val="1"/>
                <w:szCs w:val="1"/>
                <w:color w:val="auto"/>
              </w:rPr>
            </w:pPr>
          </w:p>
        </w:tc>
      </w:tr>
      <w:tr>
        <w:trPr>
          <w:trHeight w:val="132"/>
        </w:trPr>
        <w:tc>
          <w:tcPr>
            <w:tcW w:w="43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Dilutive effect of outstanding restricted stock units</w:t>
            </w: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123,811</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92,939</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106,800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112,293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103,682</w:t>
            </w:r>
          </w:p>
        </w:tc>
        <w:tc>
          <w:tcPr>
            <w:tcW w:w="0" w:type="dxa"/>
            <w:vAlign w:val="bottom"/>
          </w:tcPr>
          <w:p>
            <w:pPr>
              <w:spacing w:after="0"/>
              <w:rPr>
                <w:sz w:val="1"/>
                <w:szCs w:val="1"/>
                <w:color w:val="auto"/>
              </w:rPr>
            </w:pPr>
          </w:p>
        </w:tc>
      </w:tr>
      <w:tr>
        <w:trPr>
          <w:trHeight w:val="143"/>
        </w:trPr>
        <w:tc>
          <w:tcPr>
            <w:tcW w:w="4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rPr>
              <w:t>Weighted average common shares outstanding, including all dilutive potential shares</w:t>
            </w: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36,489,423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36,466,688</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31,587,935</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35,430,418</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31,628,929</w:t>
            </w:r>
          </w:p>
        </w:tc>
        <w:tc>
          <w:tcPr>
            <w:tcW w:w="0" w:type="dxa"/>
            <w:vAlign w:val="bottom"/>
          </w:tcPr>
          <w:p>
            <w:pPr>
              <w:spacing w:after="0"/>
              <w:rPr>
                <w:sz w:val="1"/>
                <w:szCs w:val="1"/>
                <w:color w:val="auto"/>
              </w:rPr>
            </w:pPr>
          </w:p>
        </w:tc>
      </w:tr>
      <w:tr>
        <w:trPr>
          <w:trHeight w:val="90"/>
        </w:trPr>
        <w:tc>
          <w:tcPr>
            <w:tcW w:w="4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Earnings per share - basic</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0.86</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0.63</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1.99</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Earnings per share - diluted</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0.63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1.84</w:t>
            </w:r>
          </w:p>
        </w:tc>
        <w:tc>
          <w:tcPr>
            <w:tcW w:w="0" w:type="dxa"/>
            <w:vAlign w:val="bottom"/>
          </w:tcPr>
          <w:p>
            <w:pPr>
              <w:spacing w:after="0"/>
              <w:rPr>
                <w:sz w:val="1"/>
                <w:szCs w:val="1"/>
                <w:color w:val="auto"/>
              </w:rPr>
            </w:pPr>
          </w:p>
        </w:tc>
      </w:tr>
      <w:tr>
        <w:trPr>
          <w:trHeight w:val="90"/>
        </w:trPr>
        <w:tc>
          <w:tcPr>
            <w:tcW w:w="4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Adjusted earnings per share - basic</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0.78</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0.65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1.89</w:t>
            </w: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Adjusted earnings per share - diluted</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0.86</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0.78</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0.65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2.33</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1.88</w:t>
            </w:r>
          </w:p>
        </w:tc>
        <w:tc>
          <w:tcPr>
            <w:tcW w:w="0" w:type="dxa"/>
            <w:vAlign w:val="bottom"/>
          </w:tcPr>
          <w:p>
            <w:pPr>
              <w:spacing w:after="0"/>
              <w:rPr>
                <w:sz w:val="1"/>
                <w:szCs w:val="1"/>
                <w:color w:val="auto"/>
              </w:rPr>
            </w:pPr>
          </w:p>
        </w:tc>
      </w:tr>
    </w:tbl>
    <w:p>
      <w:pPr>
        <w:sectPr>
          <w:pgSz w:w="11900" w:h="16838" w:orient="portrait"/>
          <w:cols w:equalWidth="0" w:num="1">
            <w:col w:w="11268"/>
          </w:cols>
          <w:pgMar w:left="292" w:top="135" w:right="339" w:bottom="1440" w:gutter="0" w:footer="0" w:header="0"/>
        </w:sectPr>
      </w:pPr>
    </w:p>
    <w:bookmarkStart w:id="18" w:name="page19"/>
    <w:bookmarkEnd w:id="18"/>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16</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Pre-Provision Net Revenue, Pre-Provision Net Revenue Less Net Charge-offs (Recoveries),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Adjusted Pre-Provision Net Revenue, and Adjusted Pre-Provision Net Revenue Less Net Charge-offs (Recoveries)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40" w:type="dxa"/>
            <w:vAlign w:val="bottom"/>
            <w:tcBorders>
              <w:top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30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4"/>
              </w:rPr>
              <w:t>Three Months Ended</w:t>
            </w:r>
          </w:p>
        </w:tc>
        <w:tc>
          <w:tcPr>
            <w:tcW w:w="220" w:type="dxa"/>
            <w:vAlign w:val="bottom"/>
            <w:tcBorders>
              <w:top w:val="single" w:sz="8" w:color="auto"/>
              <w:bottom w:val="single" w:sz="8" w:color="auto"/>
            </w:tcBorders>
          </w:tcPr>
          <w:p>
            <w:pPr>
              <w:spacing w:after="0"/>
              <w:rPr>
                <w:sz w:val="10"/>
                <w:szCs w:val="10"/>
                <w:color w:val="auto"/>
              </w:rPr>
            </w:pPr>
          </w:p>
        </w:tc>
        <w:tc>
          <w:tcPr>
            <w:tcW w:w="1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2500" w:type="dxa"/>
            <w:vAlign w:val="bottom"/>
            <w:tcBorders>
              <w:top w:val="single" w:sz="8" w:color="auto"/>
              <w:bottom w:val="single" w:sz="8" w:color="auto"/>
            </w:tcBorders>
            <w:gridSpan w:val="4"/>
          </w:tcPr>
          <w:p>
            <w:pPr>
              <w:jc w:val="right"/>
              <w:ind w:right="57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0"/>
        </w:trPr>
        <w:tc>
          <w:tcPr>
            <w:tcW w:w="414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7"/>
                <w:szCs w:val="7"/>
                <w:color w:val="auto"/>
              </w:rPr>
            </w:pPr>
          </w:p>
        </w:tc>
        <w:tc>
          <w:tcPr>
            <w:tcW w:w="1240" w:type="dxa"/>
            <w:vAlign w:val="bottom"/>
            <w:gridSpan w:val="2"/>
          </w:tcPr>
          <w:p>
            <w:pPr>
              <w:ind w:left="140"/>
              <w:spacing w:after="0" w:line="91"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300" w:type="dxa"/>
            <w:vAlign w:val="bottom"/>
            <w:gridSpan w:val="2"/>
          </w:tcPr>
          <w:p>
            <w:pPr>
              <w:jc w:val="center"/>
              <w:ind w:right="200"/>
              <w:spacing w:after="0" w:line="91" w:lineRule="exact"/>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7"/>
                <w:szCs w:val="7"/>
                <w:color w:val="auto"/>
              </w:rPr>
            </w:pPr>
          </w:p>
        </w:tc>
        <w:tc>
          <w:tcPr>
            <w:tcW w:w="1240" w:type="dxa"/>
            <w:vAlign w:val="bottom"/>
            <w:gridSpan w:val="2"/>
          </w:tcPr>
          <w:p>
            <w:pPr>
              <w:ind w:left="140"/>
              <w:spacing w:after="0" w:line="91" w:lineRule="exact"/>
              <w:rPr>
                <w:sz w:val="20"/>
                <w:szCs w:val="20"/>
                <w:color w:val="auto"/>
              </w:rPr>
            </w:pPr>
            <w:r>
              <w:rPr>
                <w:rFonts w:ascii="Arial" w:cs="Arial" w:eastAsia="Arial" w:hAnsi="Arial"/>
                <w:sz w:val="10"/>
                <w:szCs w:val="10"/>
                <w:b w:val="1"/>
                <w:bCs w:val="1"/>
                <w:color w:val="auto"/>
              </w:rPr>
              <w:t>September 30,</w:t>
            </w:r>
          </w:p>
        </w:tc>
        <w:tc>
          <w:tcPr>
            <w:tcW w:w="320" w:type="dxa"/>
            <w:vAlign w:val="bottom"/>
          </w:tcPr>
          <w:p>
            <w:pPr>
              <w:spacing w:after="0"/>
              <w:rPr>
                <w:sz w:val="7"/>
                <w:szCs w:val="7"/>
                <w:color w:val="auto"/>
              </w:rPr>
            </w:pPr>
          </w:p>
        </w:tc>
        <w:tc>
          <w:tcPr>
            <w:tcW w:w="1040" w:type="dxa"/>
            <w:vAlign w:val="bottom"/>
            <w:vMerge w:val="restart"/>
          </w:tcPr>
          <w:p>
            <w:pPr>
              <w:jc w:val="right"/>
              <w:ind w:right="53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vMerge w:val="restart"/>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2"/>
        </w:trPr>
        <w:tc>
          <w:tcPr>
            <w:tcW w:w="414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Net interest income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70,321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69,056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49,986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195,764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148,352</w:t>
            </w:r>
          </w:p>
        </w:tc>
        <w:tc>
          <w:tcPr>
            <w:tcW w:w="0" w:type="dxa"/>
            <w:vAlign w:val="bottom"/>
          </w:tcPr>
          <w:p>
            <w:pPr>
              <w:spacing w:after="0"/>
              <w:rPr>
                <w:sz w:val="1"/>
                <w:szCs w:val="1"/>
                <w:color w:val="auto"/>
              </w:rPr>
            </w:pPr>
          </w:p>
        </w:tc>
      </w:tr>
      <w:tr>
        <w:trPr>
          <w:trHeight w:val="132"/>
        </w:trPr>
        <w:tc>
          <w:tcPr>
            <w:tcW w:w="4140" w:type="dxa"/>
            <w:vAlign w:val="bottom"/>
          </w:tcPr>
          <w:p>
            <w:pPr>
              <w:spacing w:after="0"/>
              <w:rPr>
                <w:sz w:val="20"/>
                <w:szCs w:val="20"/>
                <w:color w:val="auto"/>
              </w:rPr>
            </w:pPr>
            <w:r>
              <w:rPr>
                <w:rFonts w:ascii="Arial" w:cs="Arial" w:eastAsia="Arial" w:hAnsi="Arial"/>
                <w:sz w:val="10"/>
                <w:szCs w:val="10"/>
                <w:color w:val="auto"/>
              </w:rPr>
              <w:t>Noninterest income</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14,237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11,841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9,849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37,022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28,295</w:t>
            </w:r>
          </w:p>
        </w:tc>
        <w:tc>
          <w:tcPr>
            <w:tcW w:w="0" w:type="dxa"/>
            <w:vAlign w:val="bottom"/>
          </w:tcPr>
          <w:p>
            <w:pPr>
              <w:spacing w:after="0"/>
              <w:rPr>
                <w:sz w:val="1"/>
                <w:szCs w:val="1"/>
                <w:color w:val="auto"/>
              </w:rPr>
            </w:pPr>
          </w:p>
        </w:tc>
      </w:tr>
      <w:tr>
        <w:trPr>
          <w:trHeight w:val="138"/>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Noninterest expense</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(42,663)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(42,446)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(32,508)</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(137,546)</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(96,357)</w:t>
            </w:r>
          </w:p>
        </w:tc>
        <w:tc>
          <w:tcPr>
            <w:tcW w:w="0" w:type="dxa"/>
            <w:vAlign w:val="bottom"/>
          </w:tcPr>
          <w:p>
            <w:pPr>
              <w:spacing w:after="0"/>
              <w:rPr>
                <w:sz w:val="1"/>
                <w:szCs w:val="1"/>
                <w:color w:val="auto"/>
              </w:rPr>
            </w:pPr>
          </w:p>
        </w:tc>
      </w:tr>
      <w:tr>
        <w:trPr>
          <w:trHeight w:val="123"/>
        </w:trPr>
        <w:tc>
          <w:tcPr>
            <w:tcW w:w="4140" w:type="dxa"/>
            <w:vAlign w:val="bottom"/>
          </w:tcPr>
          <w:p>
            <w:pPr>
              <w:ind w:left="80"/>
              <w:spacing w:after="0"/>
              <w:rPr>
                <w:sz w:val="20"/>
                <w:szCs w:val="20"/>
                <w:color w:val="auto"/>
              </w:rPr>
            </w:pPr>
            <w:r>
              <w:rPr>
                <w:rFonts w:ascii="Arial" w:cs="Arial" w:eastAsia="Arial" w:hAnsi="Arial"/>
                <w:sz w:val="10"/>
                <w:szCs w:val="10"/>
                <w:b w:val="1"/>
                <w:bCs w:val="1"/>
                <w:color w:val="auto"/>
              </w:rPr>
              <w:t>Pre-provision net revenue</w:t>
            </w:r>
          </w:p>
        </w:tc>
        <w:tc>
          <w:tcPr>
            <w:tcW w:w="20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41,895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38,451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27,327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95,240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80,290</w:t>
            </w:r>
          </w:p>
        </w:tc>
        <w:tc>
          <w:tcPr>
            <w:tcW w:w="0" w:type="dxa"/>
            <w:vAlign w:val="bottom"/>
          </w:tcPr>
          <w:p>
            <w:pPr>
              <w:spacing w:after="0"/>
              <w:rPr>
                <w:sz w:val="1"/>
                <w:szCs w:val="1"/>
                <w:color w:val="auto"/>
              </w:rPr>
            </w:pPr>
          </w:p>
        </w:tc>
      </w:tr>
      <w:tr>
        <w:trPr>
          <w:trHeight w:val="136"/>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Less: adjustments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140" w:type="dxa"/>
            <w:vAlign w:val="bottom"/>
          </w:tcPr>
          <w:p>
            <w:pPr>
              <w:ind w:left="100"/>
              <w:spacing w:after="0"/>
              <w:rPr>
                <w:sz w:val="20"/>
                <w:szCs w:val="20"/>
                <w:color w:val="auto"/>
              </w:rPr>
            </w:pPr>
            <w:r>
              <w:rPr>
                <w:rFonts w:ascii="Arial" w:cs="Arial" w:eastAsia="Arial" w:hAnsi="Arial"/>
                <w:sz w:val="10"/>
                <w:szCs w:val="10"/>
                <w:color w:val="auto"/>
              </w:rPr>
              <w:t>Acquisition expenses</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(1,005)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(257)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(16,928)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4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earnings (losses) on closed or sold operations</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4140" w:type="dxa"/>
            <w:vAlign w:val="bottom"/>
          </w:tcPr>
          <w:p>
            <w:pPr>
              <w:ind w:left="100"/>
              <w:spacing w:after="0"/>
              <w:rPr>
                <w:sz w:val="20"/>
                <w:szCs w:val="20"/>
                <w:color w:val="auto"/>
              </w:rPr>
            </w:pPr>
            <w:r>
              <w:rPr>
                <w:rFonts w:ascii="Arial" w:cs="Arial" w:eastAsia="Arial" w:hAnsi="Arial"/>
                <w:sz w:val="10"/>
                <w:szCs w:val="10"/>
                <w:color w:val="auto"/>
              </w:rPr>
              <w:t>Loss on extinguishment of debt</w:t>
            </w:r>
          </w:p>
        </w:tc>
        <w:tc>
          <w:tcPr>
            <w:tcW w:w="20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(391)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(391)</w:t>
            </w:r>
          </w:p>
        </w:tc>
        <w:tc>
          <w:tcPr>
            <w:tcW w:w="0" w:type="dxa"/>
            <w:vAlign w:val="bottom"/>
          </w:tcPr>
          <w:p>
            <w:pPr>
              <w:spacing w:after="0"/>
              <w:rPr>
                <w:sz w:val="1"/>
                <w:szCs w:val="1"/>
                <w:color w:val="auto"/>
              </w:rPr>
            </w:pPr>
          </w:p>
        </w:tc>
      </w:tr>
      <w:tr>
        <w:trPr>
          <w:trHeight w:val="138"/>
        </w:trPr>
        <w:tc>
          <w:tcPr>
            <w:tcW w:w="4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Gains (losses) on closed branch premises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2"/>
        </w:trPr>
        <w:tc>
          <w:tcPr>
            <w:tcW w:w="4140" w:type="dxa"/>
            <w:vAlign w:val="bottom"/>
          </w:tcPr>
          <w:p>
            <w:pPr>
              <w:ind w:left="100"/>
              <w:spacing w:after="0"/>
              <w:rPr>
                <w:sz w:val="20"/>
                <w:szCs w:val="20"/>
                <w:color w:val="auto"/>
              </w:rPr>
            </w:pPr>
            <w:r>
              <w:rPr>
                <w:rFonts w:ascii="Arial" w:cs="Arial" w:eastAsia="Arial" w:hAnsi="Arial"/>
                <w:sz w:val="10"/>
                <w:szCs w:val="10"/>
                <w:color w:val="auto"/>
              </w:rPr>
              <w:t>Realized gains (losses) on sales of securities</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(184)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(184)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38"/>
        </w:trPr>
        <w:tc>
          <w:tcPr>
            <w:tcW w:w="4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Mortgage servicing rights fair value adjustment</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(514)</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906</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21"/>
        </w:trPr>
        <w:tc>
          <w:tcPr>
            <w:tcW w:w="414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Total adjustments</w:t>
            </w: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(961)</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(961)</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(16,426)</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(2,011)</w:t>
            </w:r>
          </w:p>
        </w:tc>
        <w:tc>
          <w:tcPr>
            <w:tcW w:w="0" w:type="dxa"/>
            <w:vAlign w:val="bottom"/>
          </w:tcPr>
          <w:p>
            <w:pPr>
              <w:spacing w:after="0"/>
              <w:rPr>
                <w:sz w:val="1"/>
                <w:szCs w:val="1"/>
                <w:color w:val="auto"/>
              </w:rPr>
            </w:pPr>
          </w:p>
        </w:tc>
      </w:tr>
      <w:tr>
        <w:trPr>
          <w:trHeight w:val="143"/>
        </w:trPr>
        <w:tc>
          <w:tcPr>
            <w:tcW w:w="4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Adjusted pre-provision net revenue</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41,685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39,412</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28,288</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111,666</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82,301</w:t>
            </w:r>
          </w:p>
        </w:tc>
        <w:tc>
          <w:tcPr>
            <w:tcW w:w="0" w:type="dxa"/>
            <w:vAlign w:val="bottom"/>
          </w:tcPr>
          <w:p>
            <w:pPr>
              <w:spacing w:after="0"/>
              <w:rPr>
                <w:sz w:val="1"/>
                <w:szCs w:val="1"/>
                <w:color w:val="auto"/>
              </w:rPr>
            </w:pPr>
          </w:p>
        </w:tc>
      </w:tr>
      <w:tr>
        <w:trPr>
          <w:trHeight w:val="126"/>
        </w:trPr>
        <w:tc>
          <w:tcPr>
            <w:tcW w:w="4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Pre-provision net revenue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41,895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38,451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27,327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95,240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80,290</w:t>
            </w:r>
          </w:p>
        </w:tc>
        <w:tc>
          <w:tcPr>
            <w:tcW w:w="0" w:type="dxa"/>
            <w:vAlign w:val="bottom"/>
          </w:tcPr>
          <w:p>
            <w:pPr>
              <w:spacing w:after="0"/>
              <w:rPr>
                <w:sz w:val="1"/>
                <w:szCs w:val="1"/>
                <w:color w:val="auto"/>
              </w:rPr>
            </w:pPr>
          </w:p>
        </w:tc>
      </w:tr>
      <w:tr>
        <w:trPr>
          <w:trHeight w:val="132"/>
        </w:trPr>
        <w:tc>
          <w:tcPr>
            <w:tcW w:w="41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Less: net charge-offs (recoveries)</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1,610</w:t>
            </w:r>
          </w:p>
        </w:tc>
        <w:tc>
          <w:tcPr>
            <w:tcW w:w="0" w:type="dxa"/>
            <w:vAlign w:val="bottom"/>
          </w:tcPr>
          <w:p>
            <w:pPr>
              <w:spacing w:after="0"/>
              <w:rPr>
                <w:sz w:val="1"/>
                <w:szCs w:val="1"/>
                <w:color w:val="auto"/>
              </w:rPr>
            </w:pPr>
          </w:p>
        </w:tc>
      </w:tr>
      <w:tr>
        <w:trPr>
          <w:trHeight w:val="143"/>
        </w:trPr>
        <w:tc>
          <w:tcPr>
            <w:tcW w:w="4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Pre-provision net revenue less net charge-offs (recoveries)</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42,399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38,551</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27,193</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95,086</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78,680</w:t>
            </w:r>
          </w:p>
        </w:tc>
        <w:tc>
          <w:tcPr>
            <w:tcW w:w="0" w:type="dxa"/>
            <w:vAlign w:val="bottom"/>
          </w:tcPr>
          <w:p>
            <w:pPr>
              <w:spacing w:after="0"/>
              <w:rPr>
                <w:sz w:val="1"/>
                <w:szCs w:val="1"/>
                <w:color w:val="auto"/>
              </w:rPr>
            </w:pPr>
          </w:p>
        </w:tc>
      </w:tr>
      <w:tr>
        <w:trPr>
          <w:trHeight w:val="126"/>
        </w:trPr>
        <w:tc>
          <w:tcPr>
            <w:tcW w:w="4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0"/>
                <w:szCs w:val="10"/>
                <w:color w:val="auto"/>
              </w:rPr>
              <w:t>Adjusted pre-provision net revenue</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41,685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39,412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28,288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111,666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82,301</w:t>
            </w:r>
          </w:p>
        </w:tc>
        <w:tc>
          <w:tcPr>
            <w:tcW w:w="0" w:type="dxa"/>
            <w:vAlign w:val="bottom"/>
          </w:tcPr>
          <w:p>
            <w:pPr>
              <w:spacing w:after="0"/>
              <w:rPr>
                <w:sz w:val="1"/>
                <w:szCs w:val="1"/>
                <w:color w:val="auto"/>
              </w:rPr>
            </w:pPr>
          </w:p>
        </w:tc>
      </w:tr>
      <w:tr>
        <w:trPr>
          <w:trHeight w:val="132"/>
        </w:trPr>
        <w:tc>
          <w:tcPr>
            <w:tcW w:w="41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Less: net charge-offs (recoveries)</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1,610</w:t>
            </w:r>
          </w:p>
        </w:tc>
        <w:tc>
          <w:tcPr>
            <w:tcW w:w="0" w:type="dxa"/>
            <w:vAlign w:val="bottom"/>
          </w:tcPr>
          <w:p>
            <w:pPr>
              <w:spacing w:after="0"/>
              <w:rPr>
                <w:sz w:val="1"/>
                <w:szCs w:val="1"/>
                <w:color w:val="auto"/>
              </w:rPr>
            </w:pPr>
          </w:p>
        </w:tc>
      </w:tr>
      <w:tr>
        <w:trPr>
          <w:trHeight w:val="143"/>
        </w:trPr>
        <w:tc>
          <w:tcPr>
            <w:tcW w:w="4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Adjusted pre-provision net revenue less net charge-offs (recoveries)</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42,189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39,512</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28,154</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111,512</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80,691</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Net Interest Income (Tax-equivalent Basis) and Net Interest Margin (Tax-equivalent Basis)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0" w:type="dxa"/>
            <w:vAlign w:val="bottom"/>
            <w:tcBorders>
              <w:top w:val="single" w:sz="8" w:color="auto"/>
            </w:tcBorders>
          </w:tcPr>
          <w:p>
            <w:pPr>
              <w:spacing w:after="0"/>
              <w:rPr>
                <w:sz w:val="11"/>
                <w:szCs w:val="11"/>
                <w:color w:val="auto"/>
              </w:rPr>
            </w:pPr>
          </w:p>
        </w:tc>
        <w:tc>
          <w:tcPr>
            <w:tcW w:w="39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560" w:type="dxa"/>
            <w:vAlign w:val="bottom"/>
            <w:tcBorders>
              <w:top w:val="single" w:sz="8" w:color="auto"/>
              <w:bottom w:val="single" w:sz="8" w:color="auto"/>
            </w:tcBorders>
            <w:gridSpan w:val="4"/>
          </w:tcPr>
          <w:p>
            <w:pPr>
              <w:jc w:val="right"/>
              <w:ind w:right="61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396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7"/>
                <w:szCs w:val="7"/>
                <w:color w:val="auto"/>
              </w:rPr>
            </w:pPr>
          </w:p>
        </w:tc>
        <w:tc>
          <w:tcPr>
            <w:tcW w:w="1260" w:type="dxa"/>
            <w:vAlign w:val="bottom"/>
            <w:gridSpan w:val="2"/>
          </w:tcPr>
          <w:p>
            <w:pPr>
              <w:ind w:left="140"/>
              <w:spacing w:after="0" w:line="89"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34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w w:val="99"/>
              </w:rPr>
              <w:t>June 30,</w:t>
            </w:r>
          </w:p>
        </w:tc>
        <w:tc>
          <w:tcPr>
            <w:tcW w:w="220" w:type="dxa"/>
            <w:vAlign w:val="bottom"/>
          </w:tcPr>
          <w:p>
            <w:pPr>
              <w:spacing w:after="0"/>
              <w:rPr>
                <w:sz w:val="7"/>
                <w:szCs w:val="7"/>
                <w:color w:val="auto"/>
              </w:rPr>
            </w:pPr>
          </w:p>
        </w:tc>
        <w:tc>
          <w:tcPr>
            <w:tcW w:w="126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34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3960" w:type="dxa"/>
            <w:vAlign w:val="bottom"/>
            <w:gridSpan w:val="2"/>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Net interest income (tax-equivalent basis)</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920" w:type="dxa"/>
            <w:vAlign w:val="bottom"/>
          </w:tcPr>
          <w:p>
            <w:pPr>
              <w:ind w:left="20"/>
              <w:spacing w:after="0"/>
              <w:rPr>
                <w:sz w:val="20"/>
                <w:szCs w:val="20"/>
                <w:color w:val="auto"/>
              </w:rPr>
            </w:pPr>
            <w:r>
              <w:rPr>
                <w:rFonts w:ascii="Arial" w:cs="Arial" w:eastAsia="Arial" w:hAnsi="Arial"/>
                <w:sz w:val="10"/>
                <w:szCs w:val="10"/>
                <w:color w:val="auto"/>
              </w:rPr>
              <w:t>Net interest income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70,321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69,056</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49,986</w:t>
            </w:r>
          </w:p>
        </w:tc>
        <w:tc>
          <w:tcPr>
            <w:tcW w:w="80" w:type="dxa"/>
            <w:vAlign w:val="bottom"/>
          </w:tcPr>
          <w:p>
            <w:pPr>
              <w:spacing w:after="0"/>
              <w:rPr>
                <w:sz w:val="11"/>
                <w:szCs w:val="11"/>
                <w:color w:val="auto"/>
              </w:rPr>
            </w:pPr>
          </w:p>
        </w:tc>
        <w:tc>
          <w:tcPr>
            <w:tcW w:w="3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195,764</w:t>
            </w:r>
          </w:p>
        </w:tc>
        <w:tc>
          <w:tcPr>
            <w:tcW w:w="8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148,352</w:t>
            </w: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2"/>
                <w:szCs w:val="12"/>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Tax-equivalent adjustment </w:t>
            </w:r>
            <w:r>
              <w:rPr>
                <w:rFonts w:ascii="Arial" w:cs="Arial" w:eastAsia="Arial" w:hAnsi="Arial"/>
                <w:sz w:val="12"/>
                <w:szCs w:val="12"/>
                <w:color w:val="auto"/>
                <w:vertAlign w:val="superscript"/>
              </w:rPr>
              <w:t>(1)</w:t>
            </w: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869</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851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552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2,369</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1,645</w:t>
            </w: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ind w:left="20"/>
              <w:spacing w:after="0" w:line="124" w:lineRule="exact"/>
              <w:rPr>
                <w:sz w:val="20"/>
                <w:szCs w:val="20"/>
                <w:color w:val="auto"/>
              </w:rPr>
            </w:pPr>
            <w:r>
              <w:rPr>
                <w:rFonts w:ascii="Arial" w:cs="Arial" w:eastAsia="Arial" w:hAnsi="Arial"/>
                <w:sz w:val="10"/>
                <w:szCs w:val="10"/>
                <w:color w:val="auto"/>
              </w:rPr>
              <w:t xml:space="preserve">Net interest income (tax-equivalent basis) </w:t>
            </w:r>
            <w:r>
              <w:rPr>
                <w:rFonts w:ascii="Arial" w:cs="Arial" w:eastAsia="Arial" w:hAnsi="Arial"/>
                <w:sz w:val="12"/>
                <w:szCs w:val="12"/>
                <w:color w:val="auto"/>
                <w:vertAlign w:val="superscript"/>
              </w:rPr>
              <w:t>(1)</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71,190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69,907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50,538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198,133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149,997</w:t>
            </w: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960" w:type="dxa"/>
            <w:vAlign w:val="bottom"/>
            <w:gridSpan w:val="2"/>
          </w:tcPr>
          <w:p>
            <w:pPr>
              <w:spacing w:after="0"/>
              <w:rPr>
                <w:sz w:val="20"/>
                <w:szCs w:val="20"/>
                <w:color w:val="auto"/>
              </w:rPr>
            </w:pPr>
            <w:r>
              <w:rPr>
                <w:rFonts w:ascii="Arial" w:cs="Arial" w:eastAsia="Arial" w:hAnsi="Arial"/>
                <w:sz w:val="10"/>
                <w:szCs w:val="10"/>
                <w:b w:val="1"/>
                <w:bCs w:val="1"/>
                <w:color w:val="auto"/>
              </w:rPr>
              <w:t>Net interest margin (tax-equivalent basis)</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shd w:val="clear" w:color="auto" w:fill="CCEEFF"/>
          </w:tcPr>
          <w:p>
            <w:pPr>
              <w:spacing w:after="0"/>
              <w:rPr>
                <w:sz w:val="11"/>
                <w:szCs w:val="11"/>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interest margin *</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4.35 %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4.13 %</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4.30 %</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4.13 %</w:t>
            </w:r>
          </w:p>
        </w:tc>
        <w:tc>
          <w:tcPr>
            <w:tcW w:w="0" w:type="dxa"/>
            <w:vAlign w:val="bottom"/>
          </w:tcPr>
          <w:p>
            <w:pPr>
              <w:spacing w:after="0"/>
              <w:rPr>
                <w:sz w:val="1"/>
                <w:szCs w:val="1"/>
                <w:color w:val="auto"/>
              </w:rPr>
            </w:pPr>
          </w:p>
        </w:tc>
      </w:tr>
      <w:tr>
        <w:trPr>
          <w:trHeight w:val="135"/>
        </w:trPr>
        <w:tc>
          <w:tcPr>
            <w:tcW w:w="40" w:type="dxa"/>
            <w:vAlign w:val="bottom"/>
            <w:tcBorders>
              <w:bottom w:val="single" w:sz="8" w:color="CCEEFF"/>
            </w:tcBorders>
          </w:tcPr>
          <w:p>
            <w:pPr>
              <w:spacing w:after="0"/>
              <w:rPr>
                <w:sz w:val="11"/>
                <w:szCs w:val="11"/>
                <w:color w:val="auto"/>
              </w:rPr>
            </w:pPr>
          </w:p>
        </w:tc>
        <w:tc>
          <w:tcPr>
            <w:tcW w:w="39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0"/>
                <w:szCs w:val="10"/>
                <w:color w:val="auto"/>
              </w:rPr>
              <w:t xml:space="preserve">Tax-equivalent adjustment * </w:t>
            </w:r>
            <w:r>
              <w:rPr>
                <w:rFonts w:ascii="Arial" w:cs="Arial" w:eastAsia="Arial" w:hAnsi="Arial"/>
                <w:sz w:val="12"/>
                <w:szCs w:val="12"/>
                <w:color w:val="auto"/>
                <w:vertAlign w:val="superscript"/>
              </w:rPr>
              <w:t>(1)</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0.06</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0.05</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0.05</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0.05</w:t>
            </w: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3920" w:type="dxa"/>
            <w:vAlign w:val="bottom"/>
            <w:tcBorders>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0"/>
                <w:szCs w:val="10"/>
                <w:color w:val="auto"/>
              </w:rPr>
              <w:t xml:space="preserve">Net interest margin (tax-equivalent basis) * </w:t>
            </w:r>
            <w:r>
              <w:rPr>
                <w:rFonts w:ascii="Arial" w:cs="Arial" w:eastAsia="Arial" w:hAnsi="Arial"/>
                <w:sz w:val="12"/>
                <w:szCs w:val="12"/>
                <w:color w:val="auto"/>
                <w:vertAlign w:val="superscript"/>
              </w:rPr>
              <w:t>(1)</w:t>
            </w: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4.40 %</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4.38 %</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4.18 %</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4.35 %</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4.18 %</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Average interest-earning assets</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6,418,825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6,405,136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4,800,519</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6,093,027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4,802,260</w:t>
            </w:r>
          </w:p>
        </w:tc>
        <w:tc>
          <w:tcPr>
            <w:tcW w:w="0" w:type="dxa"/>
            <w:vAlign w:val="bottom"/>
          </w:tcPr>
          <w:p>
            <w:pPr>
              <w:spacing w:after="0"/>
              <w:rPr>
                <w:sz w:val="1"/>
                <w:szCs w:val="1"/>
                <w:color w:val="auto"/>
              </w:rPr>
            </w:pPr>
          </w:p>
        </w:tc>
      </w:tr>
      <w:tr>
        <w:trPr>
          <w:trHeight w:val="166"/>
        </w:trPr>
        <w:tc>
          <w:tcPr>
            <w:tcW w:w="3960" w:type="dxa"/>
            <w:vAlign w:val="bottom"/>
            <w:gridSpan w:val="2"/>
          </w:tcPr>
          <w:p>
            <w:pPr>
              <w:spacing w:after="0"/>
              <w:rPr>
                <w:sz w:val="20"/>
                <w:szCs w:val="20"/>
                <w:color w:val="auto"/>
              </w:rPr>
            </w:pPr>
            <w:r>
              <w:rPr>
                <w:rFonts w:ascii="Arial" w:cs="Arial" w:eastAsia="Arial" w:hAnsi="Arial"/>
                <w:sz w:val="10"/>
                <w:szCs w:val="10"/>
                <w:color w:val="auto"/>
              </w:rPr>
              <w:t>____________________________________</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20"/>
                <w:szCs w:val="20"/>
                <w:color w:val="auto"/>
              </w:rPr>
            </w:pPr>
            <w:r>
              <w:rPr>
                <w:rFonts w:ascii="Arial" w:cs="Arial" w:eastAsia="Arial" w:hAnsi="Arial"/>
                <w:sz w:val="7"/>
                <w:szCs w:val="7"/>
                <w:color w:val="auto"/>
                <w:w w:val="71"/>
              </w:rPr>
              <w:t>*</w:t>
            </w:r>
          </w:p>
        </w:tc>
        <w:tc>
          <w:tcPr>
            <w:tcW w:w="3920" w:type="dxa"/>
            <w:vAlign w:val="bottom"/>
          </w:tcPr>
          <w:p>
            <w:pPr>
              <w:ind w:left="160"/>
              <w:spacing w:after="0"/>
              <w:rPr>
                <w:sz w:val="20"/>
                <w:szCs w:val="20"/>
                <w:color w:val="auto"/>
              </w:rPr>
            </w:pPr>
            <w:r>
              <w:rPr>
                <w:rFonts w:ascii="Arial" w:cs="Arial" w:eastAsia="Arial" w:hAnsi="Arial"/>
                <w:sz w:val="10"/>
                <w:szCs w:val="10"/>
                <w:color w:val="auto"/>
              </w:rPr>
              <w:t>Annualized measure.</w:t>
            </w: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On a tax-equivalent basis assuming a federal income tax rate of 21% and a state income tax rate of 9.5%.</w:t>
      </w:r>
    </w:p>
    <w:p>
      <w:pPr>
        <w:sectPr>
          <w:pgSz w:w="11900" w:h="16838" w:orient="portrait"/>
          <w:cols w:equalWidth="0" w:num="1">
            <w:col w:w="11300"/>
          </w:cols>
          <w:pgMar w:left="300" w:top="135" w:right="299" w:bottom="1440" w:gutter="0" w:footer="0" w:header="0"/>
        </w:sectPr>
      </w:pPr>
    </w:p>
    <w:bookmarkStart w:id="19" w:name="page20"/>
    <w:bookmarkEnd w:id="19"/>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17</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Efficiency Ratio (Tax-equivalent Basis) and Adjusted Efficiency Ratio (Tax-equivalent Basis)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9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560" w:type="dxa"/>
            <w:vAlign w:val="bottom"/>
            <w:tcBorders>
              <w:top w:val="single" w:sz="8" w:color="auto"/>
              <w:bottom w:val="single" w:sz="8" w:color="auto"/>
            </w:tcBorders>
            <w:gridSpan w:val="4"/>
          </w:tcPr>
          <w:p>
            <w:pPr>
              <w:jc w:val="right"/>
              <w:ind w:right="61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39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7"/>
                <w:szCs w:val="7"/>
                <w:color w:val="auto"/>
              </w:rPr>
            </w:pPr>
          </w:p>
        </w:tc>
        <w:tc>
          <w:tcPr>
            <w:tcW w:w="126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7"/>
                <w:szCs w:val="7"/>
                <w:color w:val="auto"/>
              </w:rPr>
            </w:pPr>
          </w:p>
        </w:tc>
        <w:tc>
          <w:tcPr>
            <w:tcW w:w="132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7"/>
                <w:szCs w:val="7"/>
                <w:color w:val="auto"/>
              </w:rPr>
            </w:pPr>
          </w:p>
        </w:tc>
        <w:tc>
          <w:tcPr>
            <w:tcW w:w="126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34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396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98"/>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Total noninterest expense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42,663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42,446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32,508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137,546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96,357</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Less: amortization of intangible assets</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1,455</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1,455</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694</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3,797</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2,083</w:t>
            </w:r>
          </w:p>
        </w:tc>
        <w:tc>
          <w:tcPr>
            <w:tcW w:w="0" w:type="dxa"/>
            <w:vAlign w:val="bottom"/>
          </w:tcPr>
          <w:p>
            <w:pPr>
              <w:spacing w:after="0"/>
              <w:rPr>
                <w:sz w:val="1"/>
                <w:szCs w:val="1"/>
                <w:color w:val="auto"/>
              </w:rPr>
            </w:pPr>
          </w:p>
        </w:tc>
      </w:tr>
      <w:tr>
        <w:trPr>
          <w:trHeight w:val="127"/>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Noninterest expense excluding amortization of intangible assets</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41,208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40,991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31,814</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133,749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94,274</w:t>
            </w: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Less: adjustments to noninterest expense</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Acquisition expenses</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16,928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3960" w:type="dxa"/>
            <w:vAlign w:val="bottom"/>
          </w:tcPr>
          <w:p>
            <w:pPr>
              <w:ind w:left="80"/>
              <w:spacing w:after="0"/>
              <w:rPr>
                <w:sz w:val="20"/>
                <w:szCs w:val="20"/>
                <w:color w:val="auto"/>
              </w:rPr>
            </w:pPr>
            <w:r>
              <w:rPr>
                <w:rFonts w:ascii="Arial" w:cs="Arial" w:eastAsia="Arial" w:hAnsi="Arial"/>
                <w:sz w:val="10"/>
                <w:szCs w:val="10"/>
                <w:color w:val="auto"/>
              </w:rPr>
              <w:t>Expenses from closed or sold operations</w:t>
            </w:r>
          </w:p>
        </w:tc>
        <w:tc>
          <w:tcPr>
            <w:tcW w:w="220" w:type="dxa"/>
            <w:vAlign w:val="bottom"/>
          </w:tcPr>
          <w:p>
            <w:pPr>
              <w:spacing w:after="0"/>
              <w:rPr>
                <w:sz w:val="11"/>
                <w:szCs w:val="1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1"/>
                <w:szCs w:val="11"/>
                <w:color w:val="auto"/>
              </w:rPr>
            </w:pP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273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color w:val="auto"/>
              </w:rPr>
              <w:t>Loss on extinguishment of debt</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391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391</w:t>
            </w:r>
          </w:p>
        </w:tc>
        <w:tc>
          <w:tcPr>
            <w:tcW w:w="0" w:type="dxa"/>
            <w:vAlign w:val="bottom"/>
          </w:tcPr>
          <w:p>
            <w:pPr>
              <w:spacing w:after="0"/>
              <w:rPr>
                <w:sz w:val="1"/>
                <w:szCs w:val="1"/>
                <w:color w:val="auto"/>
              </w:rPr>
            </w:pPr>
          </w:p>
        </w:tc>
      </w:tr>
      <w:tr>
        <w:trPr>
          <w:trHeight w:val="121"/>
        </w:trPr>
        <w:tc>
          <w:tcPr>
            <w:tcW w:w="39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adjustments to noninterest expense</w:t>
            </w:r>
          </w:p>
        </w:tc>
        <w:tc>
          <w:tcPr>
            <w:tcW w:w="22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1,005</w:t>
            </w:r>
          </w:p>
        </w:tc>
        <w:tc>
          <w:tcPr>
            <w:tcW w:w="8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381</w:t>
            </w:r>
          </w:p>
        </w:tc>
        <w:tc>
          <w:tcPr>
            <w:tcW w:w="8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391</w:t>
            </w:r>
          </w:p>
        </w:tc>
        <w:tc>
          <w:tcPr>
            <w:tcW w:w="80" w:type="dxa"/>
            <w:vAlign w:val="bottom"/>
            <w:tcBorders>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17,201</w:t>
            </w:r>
          </w:p>
        </w:tc>
        <w:tc>
          <w:tcPr>
            <w:tcW w:w="8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391</w:t>
            </w:r>
          </w:p>
        </w:tc>
        <w:tc>
          <w:tcPr>
            <w:tcW w:w="0" w:type="dxa"/>
            <w:vAlign w:val="bottom"/>
          </w:tcPr>
          <w:p>
            <w:pPr>
              <w:spacing w:after="0"/>
              <w:rPr>
                <w:sz w:val="1"/>
                <w:szCs w:val="1"/>
                <w:color w:val="auto"/>
              </w:rPr>
            </w:pPr>
          </w:p>
        </w:tc>
      </w:tr>
      <w:tr>
        <w:trPr>
          <w:trHeight w:val="143"/>
        </w:trPr>
        <w:tc>
          <w:tcPr>
            <w:tcW w:w="3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Adjusted noninterest expense</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40,203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40,610</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31,423</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116,548</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93,883</w:t>
            </w:r>
          </w:p>
        </w:tc>
        <w:tc>
          <w:tcPr>
            <w:tcW w:w="0" w:type="dxa"/>
            <w:vAlign w:val="bottom"/>
          </w:tcPr>
          <w:p>
            <w:pPr>
              <w:spacing w:after="0"/>
              <w:rPr>
                <w:sz w:val="1"/>
                <w:szCs w:val="1"/>
                <w:color w:val="auto"/>
              </w:rPr>
            </w:pPr>
          </w:p>
        </w:tc>
      </w:tr>
      <w:tr>
        <w:trPr>
          <w:trHeight w:val="126"/>
        </w:trPr>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Net interest income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70,321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69,056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49,986</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195,764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148,352</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Total noninterest income</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14,237</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11,841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9,849</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37,022</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28,295</w:t>
            </w:r>
          </w:p>
        </w:tc>
        <w:tc>
          <w:tcPr>
            <w:tcW w:w="0" w:type="dxa"/>
            <w:vAlign w:val="bottom"/>
          </w:tcPr>
          <w:p>
            <w:pPr>
              <w:spacing w:after="0"/>
              <w:rPr>
                <w:sz w:val="1"/>
                <w:szCs w:val="1"/>
                <w:color w:val="auto"/>
              </w:rPr>
            </w:pPr>
          </w:p>
        </w:tc>
      </w:tr>
      <w:tr>
        <w:trPr>
          <w:trHeight w:val="127"/>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Operating revenue</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84,558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80,897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59,835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232,786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176,647</w:t>
            </w:r>
          </w:p>
        </w:tc>
        <w:tc>
          <w:tcPr>
            <w:tcW w:w="0" w:type="dxa"/>
            <w:vAlign w:val="bottom"/>
          </w:tcPr>
          <w:p>
            <w:pPr>
              <w:spacing w:after="0"/>
              <w:rPr>
                <w:sz w:val="1"/>
                <w:szCs w:val="1"/>
                <w:color w:val="auto"/>
              </w:rPr>
            </w:pPr>
          </w:p>
        </w:tc>
      </w:tr>
      <w:tr>
        <w:trPr>
          <w:trHeight w:val="135"/>
        </w:trPr>
        <w:tc>
          <w:tcPr>
            <w:tcW w:w="3960" w:type="dxa"/>
            <w:vAlign w:val="bottom"/>
            <w:tcBorders>
              <w:bottom w:val="single" w:sz="8" w:color="CCEEFF"/>
            </w:tcBorders>
          </w:tcPr>
          <w:p>
            <w:pPr>
              <w:spacing w:after="0" w:line="135" w:lineRule="exact"/>
              <w:rPr>
                <w:sz w:val="20"/>
                <w:szCs w:val="20"/>
                <w:color w:val="auto"/>
              </w:rPr>
            </w:pPr>
            <w:r>
              <w:rPr>
                <w:rFonts w:ascii="Arial" w:cs="Arial" w:eastAsia="Arial" w:hAnsi="Arial"/>
                <w:sz w:val="10"/>
                <w:szCs w:val="10"/>
                <w:color w:val="auto"/>
              </w:rPr>
              <w:t xml:space="preserve">Tax-equivalent adjustment </w:t>
            </w:r>
            <w:r>
              <w:rPr>
                <w:rFonts w:ascii="Arial" w:cs="Arial" w:eastAsia="Arial" w:hAnsi="Arial"/>
                <w:sz w:val="12"/>
                <w:szCs w:val="12"/>
                <w:color w:val="auto"/>
                <w:vertAlign w:val="superscript"/>
              </w:rPr>
              <w:t>(1)</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869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851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552</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2,369</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1,645</w:t>
            </w:r>
          </w:p>
        </w:tc>
        <w:tc>
          <w:tcPr>
            <w:tcW w:w="0" w:type="dxa"/>
            <w:vAlign w:val="bottom"/>
          </w:tcPr>
          <w:p>
            <w:pPr>
              <w:spacing w:after="0"/>
              <w:rPr>
                <w:sz w:val="1"/>
                <w:szCs w:val="1"/>
                <w:color w:val="auto"/>
              </w:rPr>
            </w:pPr>
          </w:p>
        </w:tc>
      </w:tr>
      <w:tr>
        <w:trPr>
          <w:trHeight w:val="124"/>
        </w:trPr>
        <w:tc>
          <w:tcPr>
            <w:tcW w:w="3960" w:type="dxa"/>
            <w:vAlign w:val="bottom"/>
            <w:shd w:val="clear" w:color="auto" w:fill="CCEEFF"/>
          </w:tcPr>
          <w:p>
            <w:pPr>
              <w:ind w:left="80"/>
              <w:spacing w:after="0" w:line="124" w:lineRule="exact"/>
              <w:rPr>
                <w:sz w:val="20"/>
                <w:szCs w:val="20"/>
                <w:color w:val="auto"/>
              </w:rPr>
            </w:pPr>
            <w:r>
              <w:rPr>
                <w:rFonts w:ascii="Arial" w:cs="Arial" w:eastAsia="Arial" w:hAnsi="Arial"/>
                <w:sz w:val="10"/>
                <w:szCs w:val="10"/>
                <w:b w:val="1"/>
                <w:bCs w:val="1"/>
                <w:color w:val="auto"/>
              </w:rPr>
              <w:t xml:space="preserve">Operating revenue (tax-equivalent basis) </w:t>
            </w:r>
            <w:r>
              <w:rPr>
                <w:rFonts w:ascii="Arial" w:cs="Arial" w:eastAsia="Arial" w:hAnsi="Arial"/>
                <w:sz w:val="12"/>
                <w:szCs w:val="12"/>
                <w:b w:val="1"/>
                <w:bCs w:val="1"/>
                <w:color w:val="auto"/>
                <w:vertAlign w:val="superscript"/>
              </w:rPr>
              <w:t>(1)</w:t>
            </w: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85,427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81,748</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60,387</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235,155</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178,292</w:t>
            </w: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Less: adjustments to noninterest income</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Revenue from closed or sold operations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324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3960" w:type="dxa"/>
            <w:vAlign w:val="bottom"/>
          </w:tcPr>
          <w:p>
            <w:pPr>
              <w:ind w:left="80"/>
              <w:spacing w:after="0"/>
              <w:rPr>
                <w:sz w:val="20"/>
                <w:szCs w:val="20"/>
                <w:color w:val="auto"/>
              </w:rPr>
            </w:pPr>
            <w:r>
              <w:rPr>
                <w:rFonts w:ascii="Arial" w:cs="Arial" w:eastAsia="Arial" w:hAnsi="Arial"/>
                <w:sz w:val="10"/>
                <w:szCs w:val="10"/>
                <w:color w:val="auto"/>
              </w:rPr>
              <w:t>Gains (losses) on closed branch premises</w:t>
            </w:r>
          </w:p>
        </w:tc>
        <w:tc>
          <w:tcPr>
            <w:tcW w:w="220" w:type="dxa"/>
            <w:vAlign w:val="bottom"/>
          </w:tcPr>
          <w:p>
            <w:pPr>
              <w:spacing w:after="0"/>
              <w:rPr>
                <w:sz w:val="11"/>
                <w:szCs w:val="11"/>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(61)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(271)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Realized gains (losses) on sales of securities</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Mortgage servicing rights fair value adjustment</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1,460</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(751)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(514)</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906</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24"/>
        </w:trPr>
        <w:tc>
          <w:tcPr>
            <w:tcW w:w="39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Total adjustments to noninterest income</w:t>
            </w:r>
          </w:p>
        </w:tc>
        <w:tc>
          <w:tcPr>
            <w:tcW w:w="22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1,215</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(580)</w:t>
            </w: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(570)</w:t>
            </w:r>
          </w:p>
        </w:tc>
        <w:tc>
          <w:tcPr>
            <w:tcW w:w="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775</w:t>
            </w:r>
          </w:p>
        </w:tc>
        <w:tc>
          <w:tcPr>
            <w:tcW w:w="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(1,620)</w:t>
            </w:r>
          </w:p>
        </w:tc>
        <w:tc>
          <w:tcPr>
            <w:tcW w:w="0" w:type="dxa"/>
            <w:vAlign w:val="bottom"/>
          </w:tcPr>
          <w:p>
            <w:pPr>
              <w:spacing w:after="0"/>
              <w:rPr>
                <w:sz w:val="1"/>
                <w:szCs w:val="1"/>
                <w:color w:val="auto"/>
              </w:rPr>
            </w:pPr>
          </w:p>
        </w:tc>
      </w:tr>
      <w:tr>
        <w:trPr>
          <w:trHeight w:val="143"/>
        </w:trPr>
        <w:tc>
          <w:tcPr>
            <w:tcW w:w="3960" w:type="dxa"/>
            <w:vAlign w:val="bottom"/>
            <w:tcBorders>
              <w:bottom w:val="single" w:sz="8" w:color="CCEEFF"/>
            </w:tcBorders>
          </w:tcPr>
          <w:p>
            <w:pPr>
              <w:ind w:left="80"/>
              <w:spacing w:after="0" w:line="127" w:lineRule="exact"/>
              <w:rPr>
                <w:sz w:val="20"/>
                <w:szCs w:val="20"/>
                <w:color w:val="auto"/>
              </w:rPr>
            </w:pPr>
            <w:r>
              <w:rPr>
                <w:rFonts w:ascii="Arial" w:cs="Arial" w:eastAsia="Arial" w:hAnsi="Arial"/>
                <w:sz w:val="10"/>
                <w:szCs w:val="10"/>
                <w:b w:val="1"/>
                <w:bCs w:val="1"/>
                <w:color w:val="auto"/>
              </w:rPr>
              <w:t xml:space="preserve">Adjusted operating revenue (tax-equivalent basis) </w:t>
            </w:r>
            <w:r>
              <w:rPr>
                <w:rFonts w:ascii="Arial" w:cs="Arial" w:eastAsia="Arial" w:hAnsi="Arial"/>
                <w:sz w:val="12"/>
                <w:szCs w:val="12"/>
                <w:b w:val="1"/>
                <w:bCs w:val="1"/>
                <w:color w:val="auto"/>
                <w:vertAlign w:val="superscript"/>
              </w:rPr>
              <w:t>(1)</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84,212</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82,328</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60,957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234,380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179,912</w:t>
            </w:r>
          </w:p>
        </w:tc>
        <w:tc>
          <w:tcPr>
            <w:tcW w:w="0" w:type="dxa"/>
            <w:vAlign w:val="bottom"/>
          </w:tcPr>
          <w:p>
            <w:pPr>
              <w:spacing w:after="0"/>
              <w:rPr>
                <w:sz w:val="1"/>
                <w:szCs w:val="1"/>
                <w:color w:val="auto"/>
              </w:rPr>
            </w:pPr>
          </w:p>
        </w:tc>
      </w:tr>
      <w:tr>
        <w:trPr>
          <w:trHeight w:val="126"/>
        </w:trPr>
        <w:tc>
          <w:tcPr>
            <w:tcW w:w="3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Efficiency ratio</w:t>
            </w: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48.73 %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50.67 %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53.17 %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57.46 %</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53.37 %</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Efficiency ratio (tax-equivalent basis) </w:t>
            </w:r>
            <w:r>
              <w:rPr>
                <w:rFonts w:ascii="Arial" w:cs="Arial" w:eastAsia="Arial" w:hAnsi="Arial"/>
                <w:sz w:val="12"/>
                <w:szCs w:val="12"/>
                <w:color w:val="auto"/>
                <w:vertAlign w:val="superscript"/>
              </w:rPr>
              <w:t>(1)</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52.68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56.88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52.88</w:t>
            </w:r>
          </w:p>
        </w:tc>
        <w:tc>
          <w:tcPr>
            <w:tcW w:w="0" w:type="dxa"/>
            <w:vAlign w:val="bottom"/>
          </w:tcPr>
          <w:p>
            <w:pPr>
              <w:spacing w:after="0"/>
              <w:rPr>
                <w:sz w:val="1"/>
                <w:szCs w:val="1"/>
                <w:color w:val="auto"/>
              </w:rPr>
            </w:pPr>
          </w:p>
        </w:tc>
      </w:tr>
      <w:tr>
        <w:trPr>
          <w:trHeight w:val="168"/>
        </w:trPr>
        <w:tc>
          <w:tcPr>
            <w:tcW w:w="3960" w:type="dxa"/>
            <w:vAlign w:val="bottom"/>
          </w:tcPr>
          <w:p>
            <w:pPr>
              <w:spacing w:after="0"/>
              <w:rPr>
                <w:sz w:val="20"/>
                <w:szCs w:val="20"/>
                <w:color w:val="auto"/>
              </w:rPr>
            </w:pPr>
            <w:r>
              <w:rPr>
                <w:rFonts w:ascii="Arial" w:cs="Arial" w:eastAsia="Arial" w:hAnsi="Arial"/>
                <w:sz w:val="10"/>
                <w:szCs w:val="10"/>
                <w:color w:val="auto"/>
              </w:rPr>
              <w:t xml:space="preserve">Adjusted efficiency ratio (tax-equivalent basis) </w:t>
            </w:r>
            <w:r>
              <w:rPr>
                <w:rFonts w:ascii="Arial" w:cs="Arial" w:eastAsia="Arial" w:hAnsi="Arial"/>
                <w:sz w:val="12"/>
                <w:szCs w:val="12"/>
                <w:color w:val="auto"/>
                <w:vertAlign w:val="superscript"/>
              </w:rPr>
              <w:t>(1)</w:t>
            </w:r>
          </w:p>
        </w:tc>
        <w:tc>
          <w:tcPr>
            <w:tcW w:w="220" w:type="dxa"/>
            <w:vAlign w:val="bottom"/>
          </w:tcPr>
          <w:p>
            <w:pPr>
              <w:spacing w:after="0"/>
              <w:rPr>
                <w:sz w:val="14"/>
                <w:szCs w:val="14"/>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47.74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49.33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51.55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49.73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52.18</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On a tax-equivalent basis assuming a federal income tax rate of 21% and a state income tax rate of 9.5%.</w:t>
      </w:r>
    </w:p>
    <w:p>
      <w:pPr>
        <w:sectPr>
          <w:pgSz w:w="11900" w:h="16838" w:orient="portrait"/>
          <w:cols w:equalWidth="0" w:num="1">
            <w:col w:w="11300"/>
          </w:cols>
          <w:pgMar w:left="300" w:top="135" w:right="299" w:bottom="1440" w:gutter="0" w:footer="0" w:header="0"/>
        </w:sectPr>
      </w:pPr>
    </w:p>
    <w:bookmarkStart w:id="20" w:name="page21"/>
    <w:bookmarkEnd w:id="20"/>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18</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Ratio of Tangible Common Equity to Tangible Assets and Tangible Book Value Per Share</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99"/>
        </w:trPr>
        <w:tc>
          <w:tcPr>
            <w:tcW w:w="6500" w:type="dxa"/>
            <w:vAlign w:val="bottom"/>
            <w:tcBorders>
              <w:top w:val="single" w:sz="8" w:color="auto"/>
            </w:tcBorders>
            <w:vMerge w:val="restart"/>
          </w:tcPr>
          <w:p>
            <w:pPr>
              <w:spacing w:after="0"/>
              <w:rPr>
                <w:sz w:val="20"/>
                <w:szCs w:val="20"/>
                <w:color w:val="auto"/>
              </w:rPr>
            </w:pPr>
            <w:r>
              <w:rPr>
                <w:rFonts w:ascii="Arial" w:cs="Arial" w:eastAsia="Arial" w:hAnsi="Arial"/>
                <w:sz w:val="10"/>
                <w:szCs w:val="10"/>
                <w:i w:val="1"/>
                <w:iCs w:val="1"/>
                <w:color w:val="auto"/>
              </w:rPr>
              <w:t>(dollars in thousands, except per share data)</w:t>
            </w:r>
          </w:p>
        </w:tc>
        <w:tc>
          <w:tcPr>
            <w:tcW w:w="2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2"/>
          </w:tcPr>
          <w:p>
            <w:pPr>
              <w:ind w:left="180"/>
              <w:spacing w:after="0" w:line="99" w:lineRule="exact"/>
              <w:rPr>
                <w:sz w:val="20"/>
                <w:szCs w:val="20"/>
                <w:color w:val="auto"/>
              </w:rPr>
            </w:pPr>
            <w:r>
              <w:rPr>
                <w:rFonts w:ascii="Arial" w:cs="Arial" w:eastAsia="Arial" w:hAnsi="Arial"/>
                <w:sz w:val="10"/>
                <w:szCs w:val="10"/>
                <w:b w:val="1"/>
                <w:bCs w:val="1"/>
                <w:color w:val="auto"/>
              </w:rPr>
              <w:t>September 30,</w:t>
            </w:r>
          </w:p>
        </w:tc>
        <w:tc>
          <w:tcPr>
            <w:tcW w:w="32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2"/>
          </w:tcPr>
          <w:p>
            <w:pPr>
              <w:ind w:left="260"/>
              <w:spacing w:after="0" w:line="99" w:lineRule="exact"/>
              <w:rPr>
                <w:sz w:val="20"/>
                <w:szCs w:val="20"/>
                <w:color w:val="auto"/>
              </w:rPr>
            </w:pPr>
            <w:r>
              <w:rPr>
                <w:rFonts w:ascii="Arial" w:cs="Arial" w:eastAsia="Arial" w:hAnsi="Arial"/>
                <w:sz w:val="10"/>
                <w:szCs w:val="10"/>
                <w:b w:val="1"/>
                <w:bCs w:val="1"/>
                <w:color w:val="auto"/>
              </w:rPr>
              <w:t>June 30,</w:t>
            </w:r>
          </w:p>
        </w:tc>
        <w:tc>
          <w:tcPr>
            <w:tcW w:w="26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jc w:val="right"/>
              <w:ind w:right="412"/>
              <w:spacing w:after="0" w:line="99"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34"/>
        </w:trPr>
        <w:tc>
          <w:tcPr>
            <w:tcW w:w="650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Tangible Common Equity</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ind w:left="60"/>
              <w:spacing w:after="0"/>
              <w:rPr>
                <w:sz w:val="20"/>
                <w:szCs w:val="20"/>
                <w:color w:val="auto"/>
              </w:rPr>
            </w:pPr>
            <w:r>
              <w:rPr>
                <w:rFonts w:ascii="Arial" w:cs="Arial" w:eastAsia="Arial" w:hAnsi="Arial"/>
                <w:sz w:val="10"/>
                <w:szCs w:val="10"/>
                <w:color w:val="auto"/>
              </w:rPr>
              <w:t>Total stockholders' equity</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754,091</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764,733</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599,129</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Goodwill</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32"/>
        </w:trPr>
        <w:tc>
          <w:tcPr>
            <w:tcW w:w="6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41,403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42,858</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15,760</w:t>
            </w:r>
          </w:p>
        </w:tc>
        <w:tc>
          <w:tcPr>
            <w:tcW w:w="0" w:type="dxa"/>
            <w:vAlign w:val="bottom"/>
          </w:tcPr>
          <w:p>
            <w:pPr>
              <w:spacing w:after="0"/>
              <w:rPr>
                <w:sz w:val="1"/>
                <w:szCs w:val="1"/>
                <w:color w:val="auto"/>
              </w:rPr>
            </w:pPr>
          </w:p>
        </w:tc>
      </w:tr>
      <w:tr>
        <w:trPr>
          <w:trHeight w:val="143"/>
        </w:trPr>
        <w:tc>
          <w:tcPr>
            <w:tcW w:w="6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b w:val="1"/>
                <w:bCs w:val="1"/>
                <w:color w:val="auto"/>
              </w:rPr>
              <w:t>Tangible common equity</w:t>
            </w: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630,739</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639,926</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523,549</w:t>
            </w:r>
          </w:p>
        </w:tc>
        <w:tc>
          <w:tcPr>
            <w:tcW w:w="0" w:type="dxa"/>
            <w:vAlign w:val="bottom"/>
          </w:tcPr>
          <w:p>
            <w:pPr>
              <w:spacing w:after="0"/>
              <w:rPr>
                <w:sz w:val="1"/>
                <w:szCs w:val="1"/>
                <w:color w:val="auto"/>
              </w:rPr>
            </w:pPr>
          </w:p>
        </w:tc>
      </w:tr>
      <w:tr>
        <w:trPr>
          <w:trHeight w:val="126"/>
        </w:trPr>
        <w:tc>
          <w:tcPr>
            <w:tcW w:w="6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Tangible Assets</w:t>
            </w: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500" w:type="dxa"/>
            <w:vAlign w:val="bottom"/>
          </w:tcPr>
          <w:p>
            <w:pPr>
              <w:ind w:left="60"/>
              <w:spacing w:after="0"/>
              <w:rPr>
                <w:sz w:val="20"/>
                <w:szCs w:val="20"/>
                <w:color w:val="auto"/>
              </w:rPr>
            </w:pPr>
            <w:r>
              <w:rPr>
                <w:rFonts w:ascii="Arial" w:cs="Arial" w:eastAsia="Arial" w:hAnsi="Arial"/>
                <w:sz w:val="10"/>
                <w:szCs w:val="10"/>
                <w:color w:val="auto"/>
              </w:rPr>
              <w:t>Total assets</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6,719,327</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6,727,646</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5,035,027</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Goodwill</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32"/>
        </w:trPr>
        <w:tc>
          <w:tcPr>
            <w:tcW w:w="6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41,403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42,858</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15,760</w:t>
            </w:r>
          </w:p>
        </w:tc>
        <w:tc>
          <w:tcPr>
            <w:tcW w:w="0" w:type="dxa"/>
            <w:vAlign w:val="bottom"/>
          </w:tcPr>
          <w:p>
            <w:pPr>
              <w:spacing w:after="0"/>
              <w:rPr>
                <w:sz w:val="1"/>
                <w:szCs w:val="1"/>
                <w:color w:val="auto"/>
              </w:rPr>
            </w:pPr>
          </w:p>
        </w:tc>
      </w:tr>
      <w:tr>
        <w:trPr>
          <w:trHeight w:val="143"/>
        </w:trPr>
        <w:tc>
          <w:tcPr>
            <w:tcW w:w="6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b w:val="1"/>
                <w:bCs w:val="1"/>
                <w:color w:val="auto"/>
              </w:rPr>
              <w:t>Tangible assets</w:t>
            </w: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6,595,975</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6,602,839</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4,959,447</w:t>
            </w:r>
          </w:p>
        </w:tc>
        <w:tc>
          <w:tcPr>
            <w:tcW w:w="0" w:type="dxa"/>
            <w:vAlign w:val="bottom"/>
          </w:tcPr>
          <w:p>
            <w:pPr>
              <w:spacing w:after="0"/>
              <w:rPr>
                <w:sz w:val="1"/>
                <w:szCs w:val="1"/>
                <w:color w:val="auto"/>
              </w:rPr>
            </w:pPr>
          </w:p>
        </w:tc>
      </w:tr>
      <w:tr>
        <w:trPr>
          <w:trHeight w:val="126"/>
        </w:trPr>
        <w:tc>
          <w:tcPr>
            <w:tcW w:w="6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Total stockholders' equity to total assets</w:t>
            </w: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11.22 %</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11.37 %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11.90 %</w:t>
            </w: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Tangible common equity to tangible assets</w:t>
            </w:r>
          </w:p>
        </w:tc>
        <w:tc>
          <w:tcPr>
            <w:tcW w:w="26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9.56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9.69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10.56</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Shares of common stock outstanding</w:t>
            </w:r>
          </w:p>
        </w:tc>
        <w:tc>
          <w:tcPr>
            <w:tcW w:w="26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36,365,612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36,365,612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31,455,803</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Book value per share</w:t>
            </w: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20.74</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21.03</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19.05</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Tangible book value per share</w:t>
            </w: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17.34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17.60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16.64</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Return on Average Tangible Common Equity,</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Adjusted Return on Average Stockholders' Equity and Adjusted Return on Average Tangible Common Equity</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9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7"/>
              </w:rPr>
              <w:t>Three Months Ended</w:t>
            </w:r>
          </w:p>
        </w:tc>
        <w:tc>
          <w:tcPr>
            <w:tcW w:w="22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560" w:type="dxa"/>
            <w:vAlign w:val="bottom"/>
            <w:tcBorders>
              <w:top w:val="single" w:sz="8" w:color="auto"/>
              <w:bottom w:val="single" w:sz="8" w:color="auto"/>
            </w:tcBorders>
            <w:gridSpan w:val="4"/>
          </w:tcPr>
          <w:p>
            <w:pPr>
              <w:jc w:val="right"/>
              <w:ind w:right="612"/>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89"/>
        </w:trPr>
        <w:tc>
          <w:tcPr>
            <w:tcW w:w="396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220" w:type="dxa"/>
            <w:vAlign w:val="bottom"/>
          </w:tcPr>
          <w:p>
            <w:pPr>
              <w:spacing w:after="0"/>
              <w:rPr>
                <w:sz w:val="7"/>
                <w:szCs w:val="7"/>
                <w:color w:val="auto"/>
              </w:rPr>
            </w:pPr>
          </w:p>
        </w:tc>
        <w:tc>
          <w:tcPr>
            <w:tcW w:w="1260" w:type="dxa"/>
            <w:vAlign w:val="bottom"/>
            <w:gridSpan w:val="2"/>
          </w:tcPr>
          <w:p>
            <w:pPr>
              <w:ind w:left="140"/>
              <w:spacing w:after="0" w:line="89" w:lineRule="exact"/>
              <w:rPr>
                <w:sz w:val="20"/>
                <w:szCs w:val="20"/>
                <w:color w:val="auto"/>
              </w:rPr>
            </w:pPr>
            <w:r>
              <w:rPr>
                <w:rFonts w:ascii="Arial" w:cs="Arial" w:eastAsia="Arial" w:hAnsi="Arial"/>
                <w:sz w:val="10"/>
                <w:szCs w:val="10"/>
                <w:b w:val="1"/>
                <w:bCs w:val="1"/>
                <w:color w:val="auto"/>
              </w:rPr>
              <w:t>September 30,</w:t>
            </w:r>
          </w:p>
        </w:tc>
        <w:tc>
          <w:tcPr>
            <w:tcW w:w="140" w:type="dxa"/>
            <w:vAlign w:val="bottom"/>
          </w:tcPr>
          <w:p>
            <w:pPr>
              <w:spacing w:after="0"/>
              <w:rPr>
                <w:sz w:val="7"/>
                <w:szCs w:val="7"/>
                <w:color w:val="auto"/>
              </w:rPr>
            </w:pPr>
          </w:p>
        </w:tc>
        <w:tc>
          <w:tcPr>
            <w:tcW w:w="134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w w:val="99"/>
              </w:rPr>
              <w:t>June 30,</w:t>
            </w:r>
          </w:p>
        </w:tc>
        <w:tc>
          <w:tcPr>
            <w:tcW w:w="220" w:type="dxa"/>
            <w:vAlign w:val="bottom"/>
          </w:tcPr>
          <w:p>
            <w:pPr>
              <w:spacing w:after="0"/>
              <w:rPr>
                <w:sz w:val="7"/>
                <w:szCs w:val="7"/>
                <w:color w:val="auto"/>
              </w:rPr>
            </w:pPr>
          </w:p>
        </w:tc>
        <w:tc>
          <w:tcPr>
            <w:tcW w:w="126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September 30,</w:t>
            </w:r>
          </w:p>
        </w:tc>
        <w:tc>
          <w:tcPr>
            <w:tcW w:w="34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restart"/>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34"/>
        </w:trPr>
        <w:tc>
          <w:tcPr>
            <w:tcW w:w="396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89"/>
              </w:rPr>
              <w:t>2026</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9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Average Tangible Common Equity</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60" w:type="dxa"/>
            <w:vAlign w:val="bottom"/>
          </w:tcPr>
          <w:p>
            <w:pPr>
              <w:ind w:left="60"/>
              <w:spacing w:after="0"/>
              <w:rPr>
                <w:sz w:val="20"/>
                <w:szCs w:val="20"/>
                <w:color w:val="auto"/>
              </w:rPr>
            </w:pPr>
            <w:r>
              <w:rPr>
                <w:rFonts w:ascii="Arial" w:cs="Arial" w:eastAsia="Arial" w:hAnsi="Arial"/>
                <w:sz w:val="10"/>
                <w:szCs w:val="10"/>
                <w:color w:val="auto"/>
              </w:rPr>
              <w:t>Total stockholders' equity</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770,236</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758,243</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589,076</w:t>
            </w:r>
          </w:p>
        </w:tc>
        <w:tc>
          <w:tcPr>
            <w:tcW w:w="80" w:type="dxa"/>
            <w:vAlign w:val="bottom"/>
          </w:tcPr>
          <w:p>
            <w:pPr>
              <w:spacing w:after="0"/>
              <w:rPr>
                <w:sz w:val="11"/>
                <w:szCs w:val="11"/>
                <w:color w:val="auto"/>
              </w:rPr>
            </w:pPr>
          </w:p>
        </w:tc>
        <w:tc>
          <w:tcPr>
            <w:tcW w:w="3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733,380</w:t>
            </w:r>
          </w:p>
        </w:tc>
        <w:tc>
          <w:tcPr>
            <w:tcW w:w="8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572,225</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Goodwill</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81,949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83,487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77,855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32"/>
        </w:trPr>
        <w:tc>
          <w:tcPr>
            <w:tcW w:w="396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42,109</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43,604</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16,095</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37,094</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16,781</w:t>
            </w:r>
          </w:p>
        </w:tc>
        <w:tc>
          <w:tcPr>
            <w:tcW w:w="0" w:type="dxa"/>
            <w:vAlign w:val="bottom"/>
          </w:tcPr>
          <w:p>
            <w:pPr>
              <w:spacing w:after="0"/>
              <w:rPr>
                <w:sz w:val="1"/>
                <w:szCs w:val="1"/>
                <w:color w:val="auto"/>
              </w:rPr>
            </w:pPr>
          </w:p>
        </w:tc>
      </w:tr>
      <w:tr>
        <w:trPr>
          <w:trHeight w:val="143"/>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b w:val="1"/>
                <w:bCs w:val="1"/>
                <w:color w:val="auto"/>
              </w:rPr>
              <w:t>Average tangible common equity</w:t>
            </w: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646,178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631,152</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513,161</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618,431</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495,624</w:t>
            </w:r>
          </w:p>
        </w:tc>
        <w:tc>
          <w:tcPr>
            <w:tcW w:w="0" w:type="dxa"/>
            <w:vAlign w:val="bottom"/>
          </w:tcPr>
          <w:p>
            <w:pPr>
              <w:spacing w:after="0"/>
              <w:rPr>
                <w:sz w:val="1"/>
                <w:szCs w:val="1"/>
                <w:color w:val="auto"/>
              </w:rPr>
            </w:pPr>
          </w:p>
        </w:tc>
      </w:tr>
      <w:tr>
        <w:trPr>
          <w:trHeight w:val="126"/>
        </w:trPr>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Net income</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31,392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27,844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19,765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70,436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58,070</w:t>
            </w: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Adjusted net income</w:t>
            </w: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31,411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28,535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20,452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82,556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59,508</w:t>
            </w:r>
          </w:p>
        </w:tc>
        <w:tc>
          <w:tcPr>
            <w:tcW w:w="0" w:type="dxa"/>
            <w:vAlign w:val="bottom"/>
          </w:tcPr>
          <w:p>
            <w:pPr>
              <w:spacing w:after="0"/>
              <w:rPr>
                <w:sz w:val="1"/>
                <w:szCs w:val="1"/>
                <w:color w:val="auto"/>
              </w:rPr>
            </w:pPr>
          </w:p>
        </w:tc>
      </w:tr>
      <w:tr>
        <w:trPr>
          <w:trHeight w:val="147"/>
        </w:trPr>
        <w:tc>
          <w:tcPr>
            <w:tcW w:w="3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60" w:type="dxa"/>
            <w:vAlign w:val="bottom"/>
          </w:tcPr>
          <w:p>
            <w:pPr>
              <w:spacing w:after="0"/>
              <w:rPr>
                <w:sz w:val="20"/>
                <w:szCs w:val="20"/>
                <w:color w:val="auto"/>
              </w:rPr>
            </w:pPr>
            <w:r>
              <w:rPr>
                <w:rFonts w:ascii="Arial" w:cs="Arial" w:eastAsia="Arial" w:hAnsi="Arial"/>
                <w:sz w:val="10"/>
                <w:szCs w:val="10"/>
                <w:color w:val="auto"/>
              </w:rPr>
              <w:t>Return on average stockholders' equity *</w:t>
            </w: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16.17 %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14.73 %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13.31 %</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12.84 %</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13.57 %</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Return on average tangible common equity *</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17.69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15.23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15.66</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spacing w:after="0"/>
              <w:rPr>
                <w:sz w:val="20"/>
                <w:szCs w:val="20"/>
                <w:color w:val="auto"/>
              </w:rPr>
            </w:pPr>
            <w:r>
              <w:rPr>
                <w:rFonts w:ascii="Arial" w:cs="Arial" w:eastAsia="Arial" w:hAnsi="Arial"/>
                <w:sz w:val="10"/>
                <w:szCs w:val="10"/>
                <w:color w:val="auto"/>
              </w:rPr>
              <w:t>Adjusted return on average stockholders' equity *</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16.18 %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15.09 %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13.77 %</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15.05 %</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13.90 %</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20"/>
                <w:szCs w:val="20"/>
                <w:color w:val="auto"/>
              </w:rPr>
            </w:pPr>
            <w:r>
              <w:rPr>
                <w:rFonts w:ascii="Arial" w:cs="Arial" w:eastAsia="Arial" w:hAnsi="Arial"/>
                <w:sz w:val="10"/>
                <w:szCs w:val="10"/>
                <w:color w:val="auto"/>
              </w:rPr>
              <w:t>Adjusted return on average tangible common equity *</w:t>
            </w: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19.29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18.13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15.81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17.85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16.05</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Annualized measure.</w:t>
      </w:r>
    </w:p>
    <w:p>
      <w:pPr>
        <w:sectPr>
          <w:pgSz w:w="11900" w:h="16838" w:orient="portrait"/>
          <w:cols w:equalWidth="0" w:num="1">
            <w:col w:w="11308"/>
          </w:cols>
          <w:pgMar w:left="292" w:top="135" w:right="299" w:bottom="1440" w:gutter="0" w:footer="0" w:header="0"/>
        </w:sectPr>
      </w:pPr>
    </w:p>
    <w:bookmarkStart w:id="21" w:name="page22"/>
    <w:bookmarkEnd w:id="2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2026-10-26T06:02:57Z</dcterms:created>
  <dcterms:modified xsi:type="dcterms:W3CDTF">2026-10-26T06:02:57Z</dcterms:modified>
</cp:coreProperties>
</file>